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824"/>
        <w:gridCol w:w="1243"/>
      </w:tblGrid>
      <w:tr w:rsidR="003979C0" w:rsidRPr="00723B12" w14:paraId="0BE170AE" w14:textId="77777777" w:rsidTr="008D3325">
        <w:trPr>
          <w:jc w:val="center"/>
        </w:trPr>
        <w:tc>
          <w:tcPr>
            <w:tcW w:w="1276" w:type="dxa"/>
            <w:vAlign w:val="center"/>
          </w:tcPr>
          <w:p w14:paraId="10A7AEB0" w14:textId="77777777" w:rsidR="003979C0" w:rsidRPr="00723B12" w:rsidRDefault="003979C0" w:rsidP="00116D1E">
            <w:pPr>
              <w:rPr>
                <w:rFonts w:ascii="Georgia" w:hAnsi="Georgia"/>
                <w:sz w:val="6"/>
                <w:lang w:val="id-ID"/>
              </w:rPr>
            </w:pPr>
            <w:bookmarkStart w:id="0" w:name="_GoBack"/>
            <w:bookmarkEnd w:id="0"/>
          </w:p>
          <w:p w14:paraId="0BE5551B" w14:textId="5DB3E1EF" w:rsidR="003979C0" w:rsidRPr="00723B12" w:rsidRDefault="003C335A" w:rsidP="00116D1E">
            <w:pPr>
              <w:rPr>
                <w:rFonts w:ascii="Georgia" w:hAnsi="Georgia"/>
                <w:sz w:val="6"/>
                <w:lang w:val="id-ID"/>
              </w:rPr>
            </w:pPr>
            <w:r w:rsidRPr="00723B12">
              <w:rPr>
                <w:rFonts w:ascii="Georgia" w:hAnsi="Georgia"/>
                <w:noProof/>
              </w:rPr>
              <w:drawing>
                <wp:inline distT="0" distB="0" distL="0" distR="0" wp14:anchorId="3ADFBFE4" wp14:editId="61D8AFA3">
                  <wp:extent cx="723331" cy="668739"/>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313" cy="668722"/>
                          </a:xfrm>
                          <a:prstGeom prst="rect">
                            <a:avLst/>
                          </a:prstGeom>
                          <a:noFill/>
                          <a:ln>
                            <a:noFill/>
                          </a:ln>
                        </pic:spPr>
                      </pic:pic>
                    </a:graphicData>
                  </a:graphic>
                </wp:inline>
              </w:drawing>
            </w:r>
          </w:p>
          <w:p w14:paraId="77FEA500" w14:textId="77777777" w:rsidR="003979C0" w:rsidRPr="00723B12" w:rsidRDefault="003979C0" w:rsidP="00116D1E">
            <w:pPr>
              <w:rPr>
                <w:rFonts w:ascii="Georgia" w:hAnsi="Georgia"/>
                <w:sz w:val="6"/>
                <w:lang w:val="id-ID"/>
              </w:rPr>
            </w:pPr>
          </w:p>
        </w:tc>
        <w:tc>
          <w:tcPr>
            <w:tcW w:w="7824" w:type="dxa"/>
            <w:vAlign w:val="center"/>
          </w:tcPr>
          <w:p w14:paraId="5C1DA159" w14:textId="77777777" w:rsidR="003979C0" w:rsidRPr="00723B12" w:rsidRDefault="003979C0" w:rsidP="003979C0">
            <w:pPr>
              <w:jc w:val="center"/>
              <w:rPr>
                <w:rFonts w:ascii="Georgia" w:hAnsi="Georgia"/>
                <w:sz w:val="16"/>
                <w:lang w:val="id-ID"/>
              </w:rPr>
            </w:pPr>
            <w:r w:rsidRPr="00723B12">
              <w:rPr>
                <w:rFonts w:ascii="Georgia" w:hAnsi="Georgia"/>
                <w:sz w:val="16"/>
                <w:lang w:val="id-ID"/>
              </w:rPr>
              <w:t xml:space="preserve">Contents list avaliable at </w:t>
            </w:r>
            <w:hyperlink r:id="rId10" w:history="1">
              <w:r w:rsidRPr="00723B12">
                <w:rPr>
                  <w:rStyle w:val="Hyperlink"/>
                  <w:rFonts w:ascii="Georgia" w:hAnsi="Georgia"/>
                  <w:sz w:val="16"/>
                  <w:u w:val="none"/>
                  <w:lang w:val="id-ID"/>
                </w:rPr>
                <w:t>Directory of Open Access Journals (DOAJ)</w:t>
              </w:r>
            </w:hyperlink>
          </w:p>
          <w:p w14:paraId="77C3B7CF" w14:textId="15022337" w:rsidR="003979C0" w:rsidRPr="00723B12" w:rsidRDefault="003979C0" w:rsidP="003979C0">
            <w:pPr>
              <w:jc w:val="center"/>
              <w:rPr>
                <w:rFonts w:ascii="Georgia" w:hAnsi="Georgia"/>
                <w:b/>
                <w:sz w:val="28"/>
                <w:szCs w:val="28"/>
                <w:lang w:val="id-ID"/>
              </w:rPr>
            </w:pPr>
            <w:r w:rsidRPr="00723B12">
              <w:rPr>
                <w:rFonts w:ascii="Georgia" w:hAnsi="Georgia"/>
                <w:b/>
                <w:sz w:val="28"/>
                <w:szCs w:val="28"/>
                <w:lang w:val="id-ID"/>
              </w:rPr>
              <w:t>Al-</w:t>
            </w:r>
            <w:r w:rsidR="00004FDF" w:rsidRPr="00723B12">
              <w:rPr>
                <w:rFonts w:ascii="Georgia" w:hAnsi="Georgia"/>
                <w:b/>
                <w:sz w:val="28"/>
                <w:szCs w:val="28"/>
                <w:lang w:val="id-ID"/>
              </w:rPr>
              <w:t>Ishlah</w:t>
            </w:r>
            <w:r w:rsidRPr="00723B12">
              <w:rPr>
                <w:rFonts w:ascii="Georgia" w:hAnsi="Georgia"/>
                <w:b/>
                <w:sz w:val="28"/>
                <w:szCs w:val="28"/>
                <w:lang w:val="id-ID"/>
              </w:rPr>
              <w:t xml:space="preserve">: </w:t>
            </w:r>
            <w:r w:rsidR="00882628" w:rsidRPr="00723B12">
              <w:rPr>
                <w:rFonts w:ascii="Georgia" w:hAnsi="Georgia"/>
                <w:b/>
                <w:sz w:val="28"/>
                <w:szCs w:val="28"/>
                <w:lang w:val="id-ID"/>
              </w:rPr>
              <w:t>J</w:t>
            </w:r>
            <w:r w:rsidR="008D3325" w:rsidRPr="00723B12">
              <w:rPr>
                <w:rFonts w:ascii="Georgia" w:hAnsi="Georgia"/>
                <w:b/>
                <w:sz w:val="28"/>
                <w:szCs w:val="28"/>
                <w:lang w:val="id-ID"/>
              </w:rPr>
              <w:t>urnal Pendidikan</w:t>
            </w:r>
          </w:p>
          <w:p w14:paraId="2A6F704B" w14:textId="4CA00511" w:rsidR="003979C0" w:rsidRPr="00723B12" w:rsidRDefault="003979C0" w:rsidP="003979C0">
            <w:pPr>
              <w:pStyle w:val="Footer"/>
              <w:jc w:val="center"/>
              <w:rPr>
                <w:rFonts w:ascii="Georgia" w:hAnsi="Georgia"/>
                <w:lang w:val="id-ID"/>
              </w:rPr>
            </w:pPr>
            <w:r w:rsidRPr="00723B12">
              <w:rPr>
                <w:rFonts w:ascii="Georgia" w:hAnsi="Georgia"/>
                <w:shd w:val="clear" w:color="auto" w:fill="FFFFFF"/>
              </w:rPr>
              <w:t>ISSN: </w:t>
            </w:r>
            <w:hyperlink r:id="rId11" w:history="1">
              <w:r w:rsidR="001C1DBB" w:rsidRPr="00723B12">
                <w:rPr>
                  <w:rStyle w:val="Hyperlink"/>
                  <w:rFonts w:ascii="Georgia" w:hAnsi="Georgia"/>
                  <w:u w:val="none"/>
                  <w:shd w:val="clear" w:color="auto" w:fill="FFFFFF"/>
                  <w:lang w:val="id-ID"/>
                </w:rPr>
                <w:t>2087-9490</w:t>
              </w:r>
              <w:r w:rsidRPr="00723B12">
                <w:rPr>
                  <w:rStyle w:val="Hyperlink"/>
                  <w:rFonts w:ascii="Georgia" w:hAnsi="Georgia"/>
                  <w:shd w:val="clear" w:color="auto" w:fill="FFFFFF"/>
                </w:rPr>
                <w:t> </w:t>
              </w:r>
            </w:hyperlink>
            <w:r w:rsidRPr="00723B12">
              <w:rPr>
                <w:rFonts w:ascii="Georgia" w:hAnsi="Georgia"/>
                <w:shd w:val="clear" w:color="auto" w:fill="FFFFFF"/>
              </w:rPr>
              <w:t>(Printed); </w:t>
            </w:r>
            <w:hyperlink r:id="rId12" w:history="1">
              <w:r w:rsidR="001C1DBB" w:rsidRPr="00723B12">
                <w:rPr>
                  <w:rStyle w:val="Hyperlink"/>
                  <w:rFonts w:ascii="Georgia" w:hAnsi="Georgia"/>
                  <w:shd w:val="clear" w:color="auto" w:fill="FFFFFF"/>
                  <w:lang w:val="id-ID"/>
                </w:rPr>
                <w:t>2597-940X</w:t>
              </w:r>
            </w:hyperlink>
            <w:r w:rsidR="001C1DBB" w:rsidRPr="00723B12">
              <w:rPr>
                <w:rFonts w:ascii="Georgia" w:hAnsi="Georgia"/>
                <w:shd w:val="clear" w:color="auto" w:fill="FFFFFF"/>
                <w:lang w:val="id-ID"/>
              </w:rPr>
              <w:t xml:space="preserve"> (Online)</w:t>
            </w:r>
          </w:p>
          <w:p w14:paraId="1F30D34E" w14:textId="1C2A3C9E" w:rsidR="003979C0" w:rsidRPr="00723B12" w:rsidRDefault="003979C0" w:rsidP="003979C0">
            <w:pPr>
              <w:jc w:val="center"/>
              <w:rPr>
                <w:rFonts w:ascii="Georgia" w:hAnsi="Georgia"/>
                <w:lang w:val="id-ID"/>
              </w:rPr>
            </w:pPr>
            <w:r w:rsidRPr="00723B12">
              <w:rPr>
                <w:rFonts w:ascii="Georgia" w:hAnsi="Georgia"/>
                <w:lang w:val="id-ID"/>
              </w:rPr>
              <w:t xml:space="preserve">Journal Homepage: </w:t>
            </w:r>
            <w:hyperlink r:id="rId13" w:history="1">
              <w:r w:rsidR="001C1DBB" w:rsidRPr="00723B12">
                <w:rPr>
                  <w:rStyle w:val="Hyperlink"/>
                  <w:rFonts w:ascii="Georgia" w:hAnsi="Georgia"/>
                  <w:u w:val="none"/>
                  <w:lang w:val="id-ID"/>
                </w:rPr>
                <w:t>http://www.journal.staihubbulwathan.id/index.php/alishlah</w:t>
              </w:r>
            </w:hyperlink>
          </w:p>
        </w:tc>
        <w:tc>
          <w:tcPr>
            <w:tcW w:w="1243" w:type="dxa"/>
            <w:vAlign w:val="center"/>
          </w:tcPr>
          <w:p w14:paraId="2F2725CA" w14:textId="77777777" w:rsidR="003979C0" w:rsidRPr="00723B12" w:rsidRDefault="003979C0" w:rsidP="00116D1E">
            <w:pPr>
              <w:jc w:val="right"/>
              <w:rPr>
                <w:rFonts w:ascii="Georgia" w:hAnsi="Georgia"/>
                <w:lang w:val="id-ID"/>
              </w:rPr>
            </w:pPr>
            <w:r w:rsidRPr="00723B12">
              <w:rPr>
                <w:rFonts w:ascii="Georgia" w:hAnsi="Georgia"/>
                <w:noProof/>
              </w:rPr>
              <w:drawing>
                <wp:inline distT="0" distB="0" distL="0" distR="0" wp14:anchorId="68BCAF59" wp14:editId="1901BD17">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6340" cy="760153"/>
                          </a:xfrm>
                          <a:prstGeom prst="rect">
                            <a:avLst/>
                          </a:prstGeom>
                        </pic:spPr>
                      </pic:pic>
                    </a:graphicData>
                  </a:graphic>
                </wp:inline>
              </w:drawing>
            </w:r>
          </w:p>
        </w:tc>
      </w:tr>
    </w:tbl>
    <w:p w14:paraId="0A27B863" w14:textId="3A86620B" w:rsidR="00F052E7" w:rsidRPr="00723B12" w:rsidRDefault="00F052E7" w:rsidP="00F70FF8">
      <w:pPr>
        <w:spacing w:after="0" w:line="240" w:lineRule="auto"/>
        <w:rPr>
          <w:rFonts w:ascii="Georgia" w:hAnsi="Georgia"/>
          <w:sz w:val="20"/>
          <w:szCs w:val="20"/>
        </w:rPr>
      </w:pPr>
    </w:p>
    <w:p w14:paraId="506C1F9B" w14:textId="77777777" w:rsidR="003979C0" w:rsidRPr="00723B12" w:rsidRDefault="003979C0" w:rsidP="00F70FF8">
      <w:pPr>
        <w:spacing w:after="0" w:line="240" w:lineRule="auto"/>
        <w:rPr>
          <w:rFonts w:ascii="Georgia" w:hAnsi="Georgi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9"/>
        <w:gridCol w:w="7384"/>
      </w:tblGrid>
      <w:tr w:rsidR="00F052E7" w:rsidRPr="00723B12" w14:paraId="70E098E1" w14:textId="77777777" w:rsidTr="00045523">
        <w:trPr>
          <w:jc w:val="center"/>
        </w:trPr>
        <w:tc>
          <w:tcPr>
            <w:tcW w:w="9883" w:type="dxa"/>
            <w:gridSpan w:val="2"/>
            <w:tcBorders>
              <w:bottom w:val="nil"/>
            </w:tcBorders>
            <w:vAlign w:val="center"/>
          </w:tcPr>
          <w:p w14:paraId="32430CA3" w14:textId="71D9D7B5" w:rsidR="00D45A82" w:rsidRPr="00976D2D" w:rsidRDefault="00D45A82" w:rsidP="00D45A82">
            <w:pPr>
              <w:ind w:right="22"/>
              <w:jc w:val="center"/>
              <w:rPr>
                <w:noProof/>
                <w:sz w:val="32"/>
                <w:lang w:val="id-ID"/>
              </w:rPr>
            </w:pPr>
          </w:p>
          <w:p w14:paraId="01BE25A5" w14:textId="77777777" w:rsidR="00594D5B" w:rsidRDefault="00594D5B" w:rsidP="00594D5B">
            <w:pPr>
              <w:pStyle w:val="ListParagraph"/>
              <w:tabs>
                <w:tab w:val="left" w:pos="567"/>
              </w:tabs>
              <w:ind w:left="284"/>
              <w:jc w:val="center"/>
              <w:rPr>
                <w:b/>
                <w:sz w:val="28"/>
                <w:szCs w:val="28"/>
              </w:rPr>
            </w:pPr>
            <w:r>
              <w:rPr>
                <w:b/>
                <w:sz w:val="28"/>
                <w:szCs w:val="28"/>
                <w:lang w:val="id-ID"/>
              </w:rPr>
              <w:t>Cognitive Conflict</w:t>
            </w:r>
            <w:r>
              <w:rPr>
                <w:b/>
                <w:sz w:val="28"/>
                <w:szCs w:val="28"/>
              </w:rPr>
              <w:t xml:space="preserve">’s </w:t>
            </w:r>
            <w:r>
              <w:rPr>
                <w:b/>
                <w:sz w:val="28"/>
                <w:szCs w:val="28"/>
                <w:lang w:val="id-ID"/>
              </w:rPr>
              <w:t xml:space="preserve">Student </w:t>
            </w:r>
            <w:r>
              <w:rPr>
                <w:b/>
                <w:sz w:val="28"/>
                <w:szCs w:val="28"/>
              </w:rPr>
              <w:t xml:space="preserve">form </w:t>
            </w:r>
          </w:p>
          <w:p w14:paraId="76B6D280" w14:textId="77777777" w:rsidR="00594D5B" w:rsidRDefault="00594D5B" w:rsidP="00594D5B">
            <w:pPr>
              <w:pStyle w:val="ListParagraph"/>
              <w:tabs>
                <w:tab w:val="left" w:pos="567"/>
              </w:tabs>
              <w:ind w:left="284"/>
              <w:jc w:val="center"/>
              <w:rPr>
                <w:b/>
                <w:sz w:val="28"/>
                <w:szCs w:val="28"/>
              </w:rPr>
            </w:pPr>
            <w:r>
              <w:rPr>
                <w:b/>
                <w:sz w:val="28"/>
                <w:szCs w:val="28"/>
                <w:lang w:val="id-ID"/>
              </w:rPr>
              <w:t>in Solving Circle Equation Problems</w:t>
            </w:r>
          </w:p>
          <w:p w14:paraId="5E1817B1" w14:textId="11F946B1" w:rsidR="00D45A82" w:rsidRDefault="00D45A82" w:rsidP="00D45A82">
            <w:pPr>
              <w:pStyle w:val="Wahanaauthor"/>
              <w:shd w:val="clear" w:color="auto" w:fill="D9D9D9"/>
              <w:spacing w:line="240" w:lineRule="auto"/>
              <w:ind w:right="22"/>
              <w:rPr>
                <w:rFonts w:ascii="Times New Roman" w:hAnsi="Times New Roman"/>
                <w:noProof/>
                <w:color w:val="1B83C9"/>
              </w:rPr>
            </w:pPr>
            <w:r>
              <w:rPr>
                <w:rFonts w:ascii="Times New Roman" w:hAnsi="Times New Roman"/>
                <w:noProof/>
                <w:color w:val="1B83C9"/>
              </w:rPr>
              <w:t>Pipit Firmanti, M.Pd</w:t>
            </w:r>
            <w:r>
              <w:rPr>
                <w:rFonts w:ascii="Times New Roman" w:hAnsi="Times New Roman"/>
                <w:noProof/>
                <w:color w:val="1B83C9"/>
                <w:vertAlign w:val="superscript"/>
                <w:lang w:val="id-ID"/>
              </w:rPr>
              <w:t>1</w:t>
            </w:r>
            <w:r w:rsidRPr="00230677">
              <w:rPr>
                <w:rFonts w:ascii="Times New Roman" w:hAnsi="Times New Roman"/>
                <w:noProof/>
                <w:color w:val="1B83C9"/>
                <w:lang w:val="id-ID"/>
              </w:rPr>
              <w:t xml:space="preserve"> </w:t>
            </w:r>
          </w:p>
          <w:p w14:paraId="412DCCAA" w14:textId="24FE339B" w:rsidR="00594D5B" w:rsidRDefault="00AE37C5" w:rsidP="00D45A82">
            <w:pPr>
              <w:pStyle w:val="Wahanaauthor"/>
              <w:shd w:val="clear" w:color="auto" w:fill="D9D9D9"/>
              <w:spacing w:line="240" w:lineRule="auto"/>
              <w:ind w:right="22"/>
              <w:rPr>
                <w:rFonts w:ascii="Times New Roman" w:hAnsi="Times New Roman"/>
                <w:noProof/>
                <w:color w:val="1B83C9"/>
              </w:rPr>
            </w:pPr>
            <w:hyperlink r:id="rId15" w:history="1">
              <w:r w:rsidR="00594D5B" w:rsidRPr="00340A8B">
                <w:rPr>
                  <w:rStyle w:val="Hyperlink"/>
                  <w:rFonts w:ascii="Times New Roman" w:hAnsi="Times New Roman"/>
                  <w:noProof/>
                </w:rPr>
                <w:t>firmantiyuberta@gmail.com</w:t>
              </w:r>
            </w:hyperlink>
          </w:p>
          <w:p w14:paraId="7BC5E472" w14:textId="2EEE51F0" w:rsidR="00594D5B" w:rsidRPr="00594D5B" w:rsidRDefault="00594D5B" w:rsidP="00D45A82">
            <w:pPr>
              <w:pStyle w:val="Wahanaauthor"/>
              <w:shd w:val="clear" w:color="auto" w:fill="D9D9D9"/>
              <w:spacing w:line="240" w:lineRule="auto"/>
              <w:ind w:right="22"/>
              <w:rPr>
                <w:rFonts w:ascii="Times New Roman" w:hAnsi="Times New Roman"/>
                <w:noProof/>
                <w:color w:val="0070C0"/>
                <w:vertAlign w:val="superscript"/>
              </w:rPr>
            </w:pPr>
            <w:r>
              <w:rPr>
                <w:rFonts w:ascii="Times New Roman" w:hAnsi="Times New Roman"/>
                <w:noProof/>
                <w:color w:val="1B83C9"/>
              </w:rPr>
              <w:t>IAIN Bukittinggi</w:t>
            </w:r>
          </w:p>
          <w:p w14:paraId="34557390" w14:textId="6F9E2EC3" w:rsidR="000D63D4" w:rsidRPr="00723B12" w:rsidRDefault="000D63D4" w:rsidP="004B4465">
            <w:pPr>
              <w:shd w:val="clear" w:color="auto" w:fill="FFFFFF"/>
              <w:jc w:val="both"/>
              <w:rPr>
                <w:rFonts w:ascii="Georgia" w:hAnsi="Georgia"/>
                <w:b/>
                <w:bCs/>
                <w:sz w:val="24"/>
                <w:lang w:val="id-ID"/>
              </w:rPr>
            </w:pPr>
            <w:r w:rsidRPr="00723B12">
              <w:rPr>
                <w:rFonts w:ascii="Georgia" w:hAnsi="Georgia"/>
                <w:sz w:val="24"/>
              </w:rPr>
              <w:t>DOI</w:t>
            </w:r>
            <w:r w:rsidRPr="00723B12">
              <w:rPr>
                <w:rFonts w:ascii="Georgia" w:hAnsi="Georgia"/>
                <w:b/>
                <w:bCs/>
                <w:sz w:val="24"/>
              </w:rPr>
              <w:t>:</w:t>
            </w:r>
          </w:p>
          <w:p w14:paraId="40900A1C" w14:textId="483F1C8D" w:rsidR="00F052E7" w:rsidRPr="00723B12" w:rsidRDefault="00F052E7" w:rsidP="00BC2EA3">
            <w:pPr>
              <w:shd w:val="clear" w:color="auto" w:fill="FFFFFF"/>
              <w:jc w:val="both"/>
              <w:rPr>
                <w:rStyle w:val="kcmread1114"/>
                <w:rFonts w:ascii="Georgia" w:hAnsi="Georgia"/>
                <w:lang w:val="id-ID"/>
              </w:rPr>
            </w:pPr>
          </w:p>
        </w:tc>
      </w:tr>
      <w:tr w:rsidR="00F052E7" w:rsidRPr="00723B12" w14:paraId="00EBA08F" w14:textId="77777777" w:rsidTr="00045523">
        <w:trPr>
          <w:jc w:val="center"/>
        </w:trPr>
        <w:tc>
          <w:tcPr>
            <w:tcW w:w="2499" w:type="dxa"/>
            <w:tcBorders>
              <w:bottom w:val="single" w:sz="2" w:space="0" w:color="auto"/>
              <w:right w:val="nil"/>
            </w:tcBorders>
            <w:vAlign w:val="center"/>
          </w:tcPr>
          <w:p w14:paraId="7355DF3B" w14:textId="77777777" w:rsidR="00F052E7" w:rsidRPr="00723B12" w:rsidRDefault="00F052E7" w:rsidP="00F70FF8">
            <w:pPr>
              <w:shd w:val="clear" w:color="auto" w:fill="FFFFFF"/>
              <w:rPr>
                <w:rFonts w:ascii="Georgia" w:hAnsi="Georgia"/>
                <w:b/>
                <w:bCs/>
                <w:lang w:val="id-ID"/>
              </w:rPr>
            </w:pPr>
          </w:p>
        </w:tc>
        <w:tc>
          <w:tcPr>
            <w:tcW w:w="7384" w:type="dxa"/>
            <w:tcBorders>
              <w:left w:val="nil"/>
              <w:bottom w:val="single" w:sz="2" w:space="0" w:color="auto"/>
            </w:tcBorders>
          </w:tcPr>
          <w:p w14:paraId="4061BF10" w14:textId="77777777" w:rsidR="00F052E7" w:rsidRPr="00723B12" w:rsidRDefault="00F052E7" w:rsidP="00F70FF8">
            <w:pPr>
              <w:pStyle w:val="ListParagraph"/>
              <w:ind w:left="0"/>
              <w:rPr>
                <w:rStyle w:val="kcmread1114"/>
                <w:rFonts w:ascii="Georgia" w:hAnsi="Georgia"/>
                <w:b/>
                <w:lang w:val="id-ID"/>
              </w:rPr>
            </w:pPr>
          </w:p>
        </w:tc>
      </w:tr>
      <w:tr w:rsidR="00F052E7" w:rsidRPr="00723B12" w14:paraId="792626A5" w14:textId="77777777" w:rsidTr="00045523">
        <w:trPr>
          <w:trHeight w:val="454"/>
          <w:jc w:val="center"/>
        </w:trPr>
        <w:tc>
          <w:tcPr>
            <w:tcW w:w="2499" w:type="dxa"/>
            <w:tcBorders>
              <w:top w:val="single" w:sz="2" w:space="0" w:color="auto"/>
              <w:bottom w:val="single" w:sz="2" w:space="0" w:color="auto"/>
              <w:right w:val="nil"/>
            </w:tcBorders>
            <w:vAlign w:val="center"/>
          </w:tcPr>
          <w:p w14:paraId="6A7B35F5" w14:textId="77777777" w:rsidR="00F052E7" w:rsidRPr="00723B12" w:rsidRDefault="00F052E7" w:rsidP="00F70FF8">
            <w:pPr>
              <w:shd w:val="clear" w:color="auto" w:fill="FFFFFF"/>
              <w:rPr>
                <w:rFonts w:ascii="Georgia" w:hAnsi="Georgia"/>
                <w:b/>
                <w:bCs/>
                <w:lang w:val="id-ID"/>
              </w:rPr>
            </w:pPr>
            <w:r w:rsidRPr="00723B12">
              <w:rPr>
                <w:rFonts w:ascii="Georgia" w:hAnsi="Georgia"/>
                <w:b/>
                <w:bCs/>
                <w:lang w:val="id-ID"/>
              </w:rPr>
              <w:t>Article Info</w:t>
            </w:r>
          </w:p>
        </w:tc>
        <w:tc>
          <w:tcPr>
            <w:tcW w:w="7384" w:type="dxa"/>
            <w:tcBorders>
              <w:top w:val="single" w:sz="2" w:space="0" w:color="auto"/>
              <w:left w:val="nil"/>
              <w:bottom w:val="single" w:sz="2" w:space="0" w:color="auto"/>
            </w:tcBorders>
            <w:vAlign w:val="center"/>
          </w:tcPr>
          <w:p w14:paraId="13D1F80F" w14:textId="392219B5" w:rsidR="00F052E7" w:rsidRPr="00EA3B75" w:rsidRDefault="00EA3B75" w:rsidP="00F70FF8">
            <w:pPr>
              <w:tabs>
                <w:tab w:val="left" w:pos="3268"/>
              </w:tabs>
              <w:rPr>
                <w:rFonts w:ascii="Georgia" w:eastAsia="DFKai-SB" w:hAnsi="Georgia"/>
                <w:b/>
              </w:rPr>
            </w:pPr>
            <w:r>
              <w:rPr>
                <w:rFonts w:ascii="Georgia" w:eastAsia="DFKai-SB" w:hAnsi="Georgia"/>
                <w:b/>
                <w:lang w:val="id-ID"/>
              </w:rPr>
              <w:t>Abstr</w:t>
            </w:r>
            <w:r>
              <w:rPr>
                <w:rFonts w:ascii="Georgia" w:eastAsia="DFKai-SB" w:hAnsi="Georgia"/>
                <w:b/>
              </w:rPr>
              <w:t>act</w:t>
            </w:r>
          </w:p>
        </w:tc>
      </w:tr>
      <w:tr w:rsidR="00F052E7" w:rsidRPr="00723B12" w14:paraId="4E178541" w14:textId="77777777" w:rsidTr="00045523">
        <w:trPr>
          <w:trHeight w:val="20"/>
          <w:jc w:val="center"/>
        </w:trPr>
        <w:tc>
          <w:tcPr>
            <w:tcW w:w="2499" w:type="dxa"/>
            <w:tcBorders>
              <w:top w:val="single" w:sz="2" w:space="0" w:color="auto"/>
              <w:bottom w:val="nil"/>
              <w:right w:val="nil"/>
            </w:tcBorders>
            <w:vAlign w:val="center"/>
          </w:tcPr>
          <w:p w14:paraId="47A587EB" w14:textId="77777777" w:rsidR="00F052E7" w:rsidRPr="00723B12" w:rsidRDefault="00F052E7" w:rsidP="00F70FF8">
            <w:pPr>
              <w:shd w:val="clear" w:color="auto" w:fill="FFFFFF"/>
              <w:rPr>
                <w:rFonts w:ascii="Georgia" w:hAnsi="Georgia"/>
                <w:b/>
                <w:bCs/>
                <w:lang w:val="id-ID"/>
              </w:rPr>
            </w:pPr>
          </w:p>
        </w:tc>
        <w:tc>
          <w:tcPr>
            <w:tcW w:w="7384" w:type="dxa"/>
            <w:tcBorders>
              <w:top w:val="single" w:sz="2" w:space="0" w:color="auto"/>
              <w:left w:val="nil"/>
              <w:bottom w:val="nil"/>
            </w:tcBorders>
            <w:vAlign w:val="center"/>
          </w:tcPr>
          <w:p w14:paraId="345C2581" w14:textId="77777777" w:rsidR="00F052E7" w:rsidRPr="00723B12" w:rsidRDefault="00F052E7" w:rsidP="00F70FF8">
            <w:pPr>
              <w:tabs>
                <w:tab w:val="left" w:pos="3268"/>
              </w:tabs>
              <w:rPr>
                <w:rFonts w:ascii="Georgia" w:eastAsia="DFKai-SB" w:hAnsi="Georgia"/>
                <w:b/>
                <w:lang w:val="id-ID"/>
              </w:rPr>
            </w:pPr>
          </w:p>
        </w:tc>
      </w:tr>
      <w:tr w:rsidR="00F052E7" w:rsidRPr="00723B12" w14:paraId="07699943" w14:textId="77777777" w:rsidTr="00045523">
        <w:trPr>
          <w:jc w:val="center"/>
        </w:trPr>
        <w:tc>
          <w:tcPr>
            <w:tcW w:w="2499" w:type="dxa"/>
            <w:tcBorders>
              <w:top w:val="nil"/>
              <w:bottom w:val="single" w:sz="2" w:space="0" w:color="auto"/>
              <w:right w:val="nil"/>
            </w:tcBorders>
          </w:tcPr>
          <w:p w14:paraId="2D32716D" w14:textId="0E27DE85" w:rsidR="003D7C70" w:rsidRPr="00723B12" w:rsidRDefault="003D7C70" w:rsidP="003D7C70">
            <w:pPr>
              <w:shd w:val="clear" w:color="auto" w:fill="FFFFFF"/>
              <w:rPr>
                <w:rFonts w:ascii="Georgia" w:hAnsi="Georgia"/>
                <w:bCs/>
                <w:iCs/>
                <w:lang w:val="id-ID"/>
              </w:rPr>
            </w:pPr>
            <w:r w:rsidRPr="00723B12">
              <w:rPr>
                <w:rFonts w:ascii="Georgia" w:hAnsi="Georgia"/>
                <w:iCs/>
                <w:shd w:val="clear" w:color="auto" w:fill="FFFFFF"/>
                <w:lang w:val="id-ID"/>
              </w:rPr>
              <w:t>Keywords</w:t>
            </w:r>
            <w:r w:rsidRPr="00723B12">
              <w:rPr>
                <w:rFonts w:ascii="Georgia" w:hAnsi="Georgia"/>
                <w:bCs/>
                <w:iCs/>
                <w:lang w:val="id-ID"/>
              </w:rPr>
              <w:t>:</w:t>
            </w:r>
          </w:p>
          <w:p w14:paraId="0DB3F5D8" w14:textId="0243FBFF" w:rsidR="00F052E7" w:rsidRDefault="00594D5B" w:rsidP="00D45A82">
            <w:pPr>
              <w:shd w:val="clear" w:color="auto" w:fill="FFFFFF"/>
            </w:pPr>
            <w:r>
              <w:t>Cognitive conflict, analytical geometry,</w:t>
            </w:r>
          </w:p>
          <w:p w14:paraId="05271C6A" w14:textId="00CEF7D5" w:rsidR="00594D5B" w:rsidRDefault="00594D5B" w:rsidP="00D45A82">
            <w:pPr>
              <w:shd w:val="clear" w:color="auto" w:fill="FFFFFF"/>
              <w:rPr>
                <w:rFonts w:ascii="Georgia" w:hAnsi="Georgia"/>
                <w:i/>
                <w:shd w:val="clear" w:color="auto" w:fill="FFFFFF"/>
              </w:rPr>
            </w:pPr>
            <w:r>
              <w:t>circle</w:t>
            </w:r>
          </w:p>
          <w:p w14:paraId="75D59506" w14:textId="77777777" w:rsidR="00D45A82" w:rsidRDefault="00D45A82" w:rsidP="00D45A82">
            <w:pPr>
              <w:shd w:val="clear" w:color="auto" w:fill="FFFFFF"/>
              <w:rPr>
                <w:rFonts w:ascii="Georgia" w:hAnsi="Georgia"/>
                <w:i/>
                <w:shd w:val="clear" w:color="auto" w:fill="FFFFFF"/>
              </w:rPr>
            </w:pPr>
          </w:p>
          <w:p w14:paraId="1DC310FA" w14:textId="77777777" w:rsidR="00D45A82" w:rsidRDefault="00D45A82" w:rsidP="00D45A82">
            <w:pPr>
              <w:shd w:val="clear" w:color="auto" w:fill="FFFFFF"/>
              <w:rPr>
                <w:rFonts w:ascii="Georgia" w:hAnsi="Georgia"/>
                <w:i/>
                <w:shd w:val="clear" w:color="auto" w:fill="FFFFFF"/>
              </w:rPr>
            </w:pPr>
          </w:p>
          <w:p w14:paraId="5F6EFBCB" w14:textId="77777777" w:rsidR="00D45A82" w:rsidRDefault="00D45A82" w:rsidP="00D45A82">
            <w:pPr>
              <w:shd w:val="clear" w:color="auto" w:fill="FFFFFF"/>
              <w:rPr>
                <w:rFonts w:ascii="Georgia" w:hAnsi="Georgia"/>
                <w:i/>
                <w:shd w:val="clear" w:color="auto" w:fill="FFFFFF"/>
              </w:rPr>
            </w:pPr>
          </w:p>
          <w:p w14:paraId="3FBE84B2" w14:textId="77777777" w:rsidR="00D45A82" w:rsidRDefault="00D45A82" w:rsidP="00D45A82">
            <w:pPr>
              <w:shd w:val="clear" w:color="auto" w:fill="FFFFFF"/>
              <w:rPr>
                <w:rFonts w:ascii="Georgia" w:hAnsi="Georgia"/>
                <w:i/>
                <w:shd w:val="clear" w:color="auto" w:fill="FFFFFF"/>
              </w:rPr>
            </w:pPr>
          </w:p>
          <w:p w14:paraId="7CC86ABE" w14:textId="77777777" w:rsidR="00DC0975" w:rsidRPr="00594D5B" w:rsidRDefault="00DC0975" w:rsidP="003D7C70">
            <w:pPr>
              <w:shd w:val="clear" w:color="auto" w:fill="FFFFFF"/>
              <w:rPr>
                <w:rFonts w:ascii="Georgia" w:hAnsi="Georgia"/>
                <w:bCs/>
                <w:iCs/>
              </w:rPr>
            </w:pPr>
          </w:p>
          <w:p w14:paraId="2FB3F8D4" w14:textId="77777777" w:rsidR="00DC0975" w:rsidRDefault="00DC0975" w:rsidP="003D7C70">
            <w:pPr>
              <w:shd w:val="clear" w:color="auto" w:fill="FFFFFF"/>
              <w:rPr>
                <w:rFonts w:ascii="Georgia" w:hAnsi="Georgia"/>
                <w:bCs/>
                <w:iCs/>
              </w:rPr>
            </w:pPr>
          </w:p>
          <w:p w14:paraId="3428C3CE" w14:textId="77777777" w:rsidR="003D7C70" w:rsidRPr="00723B12" w:rsidRDefault="003D7C70" w:rsidP="003D7C70">
            <w:pPr>
              <w:shd w:val="clear" w:color="auto" w:fill="FFFFFF"/>
              <w:rPr>
                <w:rFonts w:ascii="Georgia" w:hAnsi="Georgia"/>
                <w:bCs/>
                <w:iCs/>
                <w:lang w:val="id-ID"/>
              </w:rPr>
            </w:pPr>
            <w:r w:rsidRPr="00723B12">
              <w:rPr>
                <w:rFonts w:ascii="Georgia" w:hAnsi="Georgia"/>
                <w:bCs/>
                <w:iCs/>
                <w:lang w:val="id-ID"/>
              </w:rPr>
              <w:t>Kata kunci:</w:t>
            </w:r>
          </w:p>
          <w:p w14:paraId="1A6C091B" w14:textId="77777777" w:rsidR="00594D5B" w:rsidRDefault="00594D5B" w:rsidP="003D7C70">
            <w:pPr>
              <w:jc w:val="both"/>
              <w:rPr>
                <w:rFonts w:ascii="Georgia" w:hAnsi="Georgia"/>
              </w:rPr>
            </w:pPr>
            <w:r>
              <w:rPr>
                <w:rFonts w:ascii="Georgia" w:hAnsi="Georgia"/>
              </w:rPr>
              <w:t>Konflik kognitif,</w:t>
            </w:r>
          </w:p>
          <w:p w14:paraId="36A60E2F" w14:textId="3DA6155E" w:rsidR="00DC0975" w:rsidRDefault="00594D5B" w:rsidP="003D7C70">
            <w:pPr>
              <w:jc w:val="both"/>
              <w:rPr>
                <w:rFonts w:ascii="Georgia" w:hAnsi="Georgia"/>
              </w:rPr>
            </w:pPr>
            <w:r>
              <w:rPr>
                <w:rFonts w:ascii="Georgia" w:hAnsi="Georgia"/>
              </w:rPr>
              <w:t>geometri analitik,</w:t>
            </w:r>
          </w:p>
          <w:p w14:paraId="7260FF1D" w14:textId="2A9045D8" w:rsidR="00594D5B" w:rsidRPr="00DC0975" w:rsidRDefault="00594D5B" w:rsidP="003D7C70">
            <w:pPr>
              <w:jc w:val="both"/>
              <w:rPr>
                <w:rFonts w:ascii="Georgia" w:hAnsi="Georgia"/>
              </w:rPr>
            </w:pPr>
            <w:r>
              <w:rPr>
                <w:rFonts w:ascii="Georgia" w:hAnsi="Georgia"/>
              </w:rPr>
              <w:t>lingkaran</w:t>
            </w:r>
          </w:p>
          <w:p w14:paraId="567155A9" w14:textId="77777777" w:rsidR="00F052E7" w:rsidRPr="00723B12" w:rsidRDefault="00F052E7" w:rsidP="00F70FF8">
            <w:pPr>
              <w:shd w:val="clear" w:color="auto" w:fill="FFFFFF"/>
              <w:rPr>
                <w:rFonts w:ascii="Georgia" w:hAnsi="Georgia"/>
                <w:i/>
                <w:spacing w:val="-3"/>
                <w:position w:val="-1"/>
                <w:lang w:val="id-ID"/>
              </w:rPr>
            </w:pPr>
          </w:p>
        </w:tc>
        <w:tc>
          <w:tcPr>
            <w:tcW w:w="7384" w:type="dxa"/>
            <w:tcBorders>
              <w:top w:val="nil"/>
              <w:left w:val="nil"/>
              <w:bottom w:val="single" w:sz="2" w:space="0" w:color="auto"/>
            </w:tcBorders>
          </w:tcPr>
          <w:p w14:paraId="0C660B31" w14:textId="77777777" w:rsidR="00594D5B" w:rsidRDefault="00594D5B" w:rsidP="00594D5B">
            <w:pPr>
              <w:tabs>
                <w:tab w:val="left" w:pos="567"/>
              </w:tabs>
              <w:jc w:val="both"/>
              <w:rPr>
                <w:spacing w:val="-4"/>
              </w:rPr>
            </w:pPr>
            <w:r>
              <w:rPr>
                <w:spacing w:val="-4"/>
              </w:rPr>
              <w:t>This study aims to describe the cognitive conflicts of students in solving the equation of a circle. The research method used is descriptive qualitative. This study involved students who experienced cognitive conflict as a sample. The instruments used are tests and interviews. The results showed that there were eight forms of cognitive conflict that emerged when students completed the given questions. There is a tendency where students can determine the center and radius of a circle correctly but have difficulty drawing a circle from the given equation.</w:t>
            </w:r>
          </w:p>
          <w:p w14:paraId="1B026714" w14:textId="77777777" w:rsidR="00F052E7" w:rsidRPr="00DC0975" w:rsidRDefault="00F052E7" w:rsidP="00594D5B">
            <w:pPr>
              <w:tabs>
                <w:tab w:val="left" w:pos="3268"/>
              </w:tabs>
              <w:jc w:val="both"/>
              <w:rPr>
                <w:rFonts w:ascii="Georgia" w:eastAsia="Arial" w:hAnsi="Georgia"/>
                <w:spacing w:val="2"/>
                <w:lang w:val="id-ID"/>
              </w:rPr>
            </w:pPr>
          </w:p>
          <w:p w14:paraId="46393A4A" w14:textId="77777777" w:rsidR="00F70FF8" w:rsidRPr="00723B12" w:rsidRDefault="00F70FF8" w:rsidP="00594D5B">
            <w:pPr>
              <w:tabs>
                <w:tab w:val="left" w:pos="3268"/>
              </w:tabs>
              <w:jc w:val="both"/>
              <w:rPr>
                <w:rFonts w:ascii="Georgia" w:eastAsia="Arial" w:hAnsi="Georgia"/>
                <w:spacing w:val="2"/>
                <w:lang w:val="id-ID"/>
              </w:rPr>
            </w:pPr>
          </w:p>
          <w:p w14:paraId="1C7E026D" w14:textId="15E03FAB" w:rsidR="00F052E7" w:rsidRPr="00EA3B75" w:rsidRDefault="00DE16E4" w:rsidP="00594D5B">
            <w:pPr>
              <w:tabs>
                <w:tab w:val="left" w:pos="3268"/>
              </w:tabs>
              <w:autoSpaceDE w:val="0"/>
              <w:autoSpaceDN w:val="0"/>
              <w:adjustRightInd w:val="0"/>
              <w:rPr>
                <w:rFonts w:ascii="Georgia" w:hAnsi="Georgia"/>
                <w:b/>
                <w:bCs/>
              </w:rPr>
            </w:pPr>
            <w:r w:rsidRPr="00723B12">
              <w:rPr>
                <w:rFonts w:ascii="Georgia" w:hAnsi="Georgia"/>
                <w:b/>
                <w:bCs/>
              </w:rPr>
              <w:t>Abstra</w:t>
            </w:r>
            <w:r w:rsidR="00EA3B75">
              <w:rPr>
                <w:rFonts w:ascii="Georgia" w:hAnsi="Georgia"/>
                <w:b/>
                <w:bCs/>
              </w:rPr>
              <w:t>k</w:t>
            </w:r>
          </w:p>
          <w:p w14:paraId="292FC566" w14:textId="77777777" w:rsidR="00F052E7" w:rsidRPr="00723B12" w:rsidRDefault="00F052E7" w:rsidP="00594D5B">
            <w:pPr>
              <w:tabs>
                <w:tab w:val="left" w:pos="3268"/>
              </w:tabs>
              <w:autoSpaceDE w:val="0"/>
              <w:autoSpaceDN w:val="0"/>
              <w:adjustRightInd w:val="0"/>
              <w:rPr>
                <w:rFonts w:ascii="Georgia" w:hAnsi="Georgia"/>
                <w:b/>
                <w:bCs/>
                <w:lang w:val="id-ID"/>
              </w:rPr>
            </w:pPr>
          </w:p>
          <w:p w14:paraId="6DC2AE0E" w14:textId="77777777" w:rsidR="00594D5B" w:rsidRDefault="00594D5B" w:rsidP="00594D5B">
            <w:pPr>
              <w:tabs>
                <w:tab w:val="left" w:pos="567"/>
              </w:tabs>
              <w:jc w:val="both"/>
            </w:pPr>
            <w:r>
              <w:t>Penelitian ini bertujuan untuk mendeskripsikan tentang konflik kognitif mahasiswa dengan dalam menyelesaikan masalah persamaan lingkaran. Metode penelitian yang digunakan adalah deskriptif kualitatif. Penelitian ini melibatkan mahasiswa yang mengalami konflik kognitif sebagai sampel. Instrumen yang digunakan adalah tes dan wawancara. Hasil penelitian menunjukkan terdapat delapan bentuk konflik kognitif yang muncul ketika mahasiswa menyelesaikan soal yang diberikan. Terdapat kecenderungan dimana mahasiswa dapat menentukan titik pusat dan jari-jari lingkaran dengan benar namun kesulitan menggambar lingkaran dari persamaan  sama yang diberikan.</w:t>
            </w:r>
          </w:p>
          <w:p w14:paraId="340D9067" w14:textId="5198CB78" w:rsidR="00F052E7" w:rsidRPr="00723B12" w:rsidRDefault="00F052E7" w:rsidP="00594D5B">
            <w:pPr>
              <w:tabs>
                <w:tab w:val="left" w:pos="3268"/>
              </w:tabs>
              <w:jc w:val="both"/>
              <w:rPr>
                <w:rStyle w:val="kcmread1114"/>
                <w:rFonts w:ascii="Georgia" w:eastAsiaTheme="minorHAnsi" w:hAnsi="Georgia"/>
                <w:shd w:val="clear" w:color="auto" w:fill="FFFFFF"/>
                <w:lang w:val="id-ID"/>
              </w:rPr>
            </w:pPr>
          </w:p>
        </w:tc>
      </w:tr>
    </w:tbl>
    <w:p w14:paraId="79294AA5" w14:textId="77777777" w:rsidR="00F052E7" w:rsidRPr="00723B12" w:rsidRDefault="00F052E7" w:rsidP="00F70FF8">
      <w:pPr>
        <w:spacing w:after="0" w:line="240" w:lineRule="auto"/>
        <w:rPr>
          <w:rFonts w:ascii="Georgia" w:hAnsi="Georgia"/>
          <w:sz w:val="20"/>
        </w:rPr>
      </w:pPr>
    </w:p>
    <w:p w14:paraId="40219BB2" w14:textId="432E86F9" w:rsidR="00F70FF8" w:rsidRPr="00723B12" w:rsidRDefault="00F70FF8" w:rsidP="00B24C2D">
      <w:pPr>
        <w:spacing w:after="0" w:line="360" w:lineRule="auto"/>
        <w:jc w:val="both"/>
        <w:rPr>
          <w:rFonts w:ascii="Georgia" w:eastAsia="Arial" w:hAnsi="Georgia" w:cs="Times New Roman"/>
          <w:b/>
          <w:lang w:val="en-US"/>
        </w:rPr>
      </w:pPr>
      <w:r w:rsidRPr="00723B12">
        <w:rPr>
          <w:rFonts w:ascii="Georgia" w:eastAsia="Arial" w:hAnsi="Georgia" w:cs="Times New Roman"/>
          <w:b/>
        </w:rPr>
        <w:t>INTRODUCTION</w:t>
      </w:r>
      <w:r w:rsidR="00723B12">
        <w:rPr>
          <w:rFonts w:ascii="Georgia" w:eastAsia="Arial" w:hAnsi="Georgia" w:cs="Times New Roman"/>
          <w:b/>
          <w:lang w:val="en-US"/>
        </w:rPr>
        <w:t xml:space="preserve"> </w:t>
      </w:r>
    </w:p>
    <w:p w14:paraId="05D6AD0A" w14:textId="77777777" w:rsidR="00594D5B" w:rsidRPr="00594D5B" w:rsidRDefault="00594D5B" w:rsidP="00594D5B">
      <w:pPr>
        <w:tabs>
          <w:tab w:val="left" w:pos="851"/>
        </w:tabs>
        <w:spacing w:after="0" w:line="360" w:lineRule="auto"/>
        <w:ind w:left="284" w:firstLine="567"/>
        <w:jc w:val="both"/>
        <w:rPr>
          <w:rFonts w:ascii="Georgia" w:hAnsi="Georgia" w:cs="Times New Roman"/>
        </w:rPr>
      </w:pPr>
      <w:r w:rsidRPr="00594D5B">
        <w:rPr>
          <w:rFonts w:ascii="Georgia" w:hAnsi="Georgia" w:cs="Times New Roman"/>
        </w:rPr>
        <w:t>Lecturers as educational facilitators need to identify problems regarding student understanding in higher education, especially in the Department of Mathematics. The goal is that the quality of the learning process in the classroom can be improved. The effort that can be done is to examine students' understanding of a certain mathematical concept as knowledge resulting from information processing. A concept can be studied from various points of view, but if students cannot integrate the various information it will cause conflict. The information that is not integrated causes a 'interference' in understanding the concept. In other words, there has been a state of mental imbalance in the understanding of mathematical concepts that have been studied by students. This contradicting or not integrating understandings of a mathematical concept is a condition commonly referred to as cognitive conflict.</w:t>
      </w:r>
    </w:p>
    <w:p w14:paraId="17B90EE2" w14:textId="77777777" w:rsidR="00594D5B" w:rsidRPr="00594D5B" w:rsidRDefault="00594D5B" w:rsidP="00594D5B">
      <w:pPr>
        <w:tabs>
          <w:tab w:val="left" w:pos="851"/>
        </w:tabs>
        <w:spacing w:after="0" w:line="360" w:lineRule="auto"/>
        <w:ind w:left="284" w:firstLine="567"/>
        <w:jc w:val="both"/>
        <w:rPr>
          <w:rFonts w:ascii="Georgia" w:hAnsi="Georgia" w:cs="Times New Roman"/>
          <w:iCs/>
        </w:rPr>
      </w:pPr>
      <w:r w:rsidRPr="00594D5B">
        <w:rPr>
          <w:rFonts w:ascii="Georgia" w:hAnsi="Georgia" w:cs="Times New Roman"/>
        </w:rPr>
        <w:lastRenderedPageBreak/>
        <w:t>Hiebert &amp; Carpenter stated that a student will understand mathematics if the mental representation of the concept is part of the internal framework</w:t>
      </w:r>
      <w:r w:rsidRPr="00594D5B">
        <w:rPr>
          <w:rFonts w:ascii="Georgia" w:hAnsi="Georgia" w:cs="Times New Roman"/>
          <w:lang w:val="sv-SE"/>
        </w:rPr>
        <w:t>.</w:t>
      </w:r>
      <w:r w:rsidRPr="00594D5B">
        <w:rPr>
          <w:rStyle w:val="FootnoteReference"/>
          <w:rFonts w:ascii="Georgia" w:hAnsi="Georgia" w:cs="Times New Roman"/>
          <w:lang w:val="sv-SE"/>
        </w:rPr>
        <w:footnoteReference w:id="1"/>
      </w:r>
      <w:r w:rsidRPr="00594D5B">
        <w:rPr>
          <w:rFonts w:ascii="Georgia" w:hAnsi="Georgia" w:cs="Times New Roman"/>
          <w:lang w:val="sv-SE"/>
        </w:rPr>
        <w:t xml:space="preserve"> </w:t>
      </w:r>
      <w:r w:rsidRPr="00594D5B">
        <w:rPr>
          <w:rFonts w:ascii="Georgia" w:hAnsi="Georgia" w:cs="Times New Roman"/>
        </w:rPr>
        <w:t>The internal framework referred to is what Piaget called the schemata in the cognitive structure. This is also in line with the opinion of Anderson &amp; Krathwohl (2001) defining the meaning of understanding which is associated with cognitive processes</w:t>
      </w:r>
      <w:r w:rsidRPr="00594D5B">
        <w:rPr>
          <w:rFonts w:ascii="Georgia" w:hAnsi="Georgia" w:cs="Times New Roman"/>
          <w:iCs/>
        </w:rPr>
        <w:t>.</w:t>
      </w:r>
      <w:r w:rsidRPr="00594D5B">
        <w:rPr>
          <w:rStyle w:val="FootnoteReference"/>
          <w:rFonts w:ascii="Georgia" w:hAnsi="Georgia" w:cs="Times New Roman"/>
          <w:iCs/>
        </w:rPr>
        <w:footnoteReference w:id="2"/>
      </w:r>
    </w:p>
    <w:p w14:paraId="317CBB0F" w14:textId="77777777" w:rsidR="00594D5B" w:rsidRPr="00594D5B" w:rsidRDefault="00594D5B" w:rsidP="00594D5B">
      <w:pPr>
        <w:spacing w:after="0" w:line="360" w:lineRule="auto"/>
        <w:ind w:left="284" w:firstLine="567"/>
        <w:jc w:val="both"/>
        <w:rPr>
          <w:rFonts w:ascii="Georgia" w:hAnsi="Georgia" w:cs="Times New Roman"/>
        </w:rPr>
      </w:pPr>
      <w:r w:rsidRPr="00594D5B">
        <w:rPr>
          <w:rFonts w:ascii="Georgia" w:hAnsi="Georgia" w:cs="Times New Roman"/>
        </w:rPr>
        <w:t>Lecturer may not know how a student represents mathematical concepts internally when internal representation relations are built into a knowledge network as an internal structure. Meanwhile, the way students solve problems according to Hiebert and Carpenter is influenced by external representations, which can be in the form of images, symbols, and the others related to the problem being solved. Problem solving affects the internal representation and encourages the formation of a network for the internal representation. Internal representation is needed in thinking about mathematical ideas.</w:t>
      </w:r>
    </w:p>
    <w:p w14:paraId="192108D1" w14:textId="77777777" w:rsidR="00594D5B" w:rsidRPr="00594D5B" w:rsidRDefault="00594D5B" w:rsidP="00594D5B">
      <w:pPr>
        <w:spacing w:after="0" w:line="360" w:lineRule="auto"/>
        <w:ind w:left="284" w:firstLine="567"/>
        <w:jc w:val="both"/>
        <w:rPr>
          <w:rFonts w:ascii="Georgia" w:hAnsi="Georgia" w:cs="Times New Roman"/>
        </w:rPr>
      </w:pPr>
      <w:r w:rsidRPr="00594D5B">
        <w:rPr>
          <w:rFonts w:ascii="Georgia" w:hAnsi="Georgia" w:cs="Times New Roman"/>
        </w:rPr>
        <w:t>On the other hand, the definition of understanding according to Skemp notices that even though students do not understand a concept, they can think about how they can have an understanding of the concept. However, if these understandings are not in accordance with the actual concepts that have been previously understood, then these understandings have the potential to cause mental imbalances in their thinking processes due to conflicts between their understandings. In other words, understanding the concept is a person's mental condition that describes cognitive schemata that have absorbed information or knowledge which is characterized by a person's ability to carry out cognitive processes of interpreting, calculating, classifying, reasoning, comparing, proving, and explaining both orally and in writing when completing a problem.</w:t>
      </w:r>
    </w:p>
    <w:p w14:paraId="235BEFA7" w14:textId="77777777" w:rsidR="00594D5B" w:rsidRPr="00594D5B" w:rsidRDefault="00594D5B" w:rsidP="00594D5B">
      <w:pPr>
        <w:tabs>
          <w:tab w:val="left" w:pos="851"/>
        </w:tabs>
        <w:spacing w:after="0" w:line="360" w:lineRule="auto"/>
        <w:ind w:left="284" w:firstLine="567"/>
        <w:jc w:val="both"/>
        <w:rPr>
          <w:rFonts w:ascii="Georgia" w:hAnsi="Georgia" w:cs="Times New Roman"/>
        </w:rPr>
      </w:pPr>
      <w:r w:rsidRPr="00594D5B">
        <w:rPr>
          <w:rFonts w:ascii="Georgia" w:hAnsi="Georgia" w:cs="Times New Roman"/>
        </w:rPr>
        <w:t>Within the framework of the ongoing curriculum, it is already implied that students are required to learn with understanding, but the steps have not been explained in detail. This is as explained by Andreas and Gabriel: “</w:t>
      </w:r>
      <w:r w:rsidRPr="00594D5B">
        <w:rPr>
          <w:rFonts w:ascii="Georgia" w:hAnsi="Georgia" w:cs="Times New Roman"/>
          <w:i/>
        </w:rPr>
        <w:t>although the vision of students learning mathematics with understanding has often appeared in curriculum frameworks, this vision has tended to be poorly described, thereby offering limited support to curriculum development and policy</w:t>
      </w:r>
      <w:r w:rsidRPr="00594D5B">
        <w:rPr>
          <w:rFonts w:ascii="Georgia" w:hAnsi="Georgia" w:cs="Times New Roman"/>
        </w:rPr>
        <w:t>.”</w:t>
      </w:r>
    </w:p>
    <w:p w14:paraId="19059636" w14:textId="77777777" w:rsidR="00594D5B" w:rsidRPr="00594D5B" w:rsidRDefault="00594D5B" w:rsidP="00594D5B">
      <w:pPr>
        <w:tabs>
          <w:tab w:val="left" w:pos="851"/>
        </w:tabs>
        <w:spacing w:after="0" w:line="360" w:lineRule="auto"/>
        <w:ind w:left="284" w:firstLine="567"/>
        <w:jc w:val="both"/>
        <w:rPr>
          <w:rFonts w:ascii="Georgia" w:hAnsi="Georgia" w:cs="Times New Roman"/>
        </w:rPr>
      </w:pPr>
      <w:r w:rsidRPr="00594D5B">
        <w:rPr>
          <w:rFonts w:ascii="Georgia" w:hAnsi="Georgia" w:cs="Times New Roman"/>
        </w:rPr>
        <w:t xml:space="preserve">This is added if there is a conflict between the two knowledge schemas in the cognitive structure of inconsistency or conflict with each other which causes cognitive conflict. On the other hand, Ernest (1991) explains about cognitive conflict, namely: "...cognitive conflict, which occurs when there is conflict between two schemas, due to inconsistency or conflicting outcomes". Two knowledge schemas that do not integrate with each other. For example, students may experience cognitive conflicts in their understanding of the meaning of limit notation which does not integrate </w:t>
      </w:r>
      <w:r w:rsidRPr="00594D5B">
        <w:rPr>
          <w:rFonts w:ascii="Georgia" w:hAnsi="Georgia" w:cs="Times New Roman"/>
        </w:rPr>
        <w:lastRenderedPageBreak/>
        <w:t xml:space="preserve">with their understanding of the formal definition of limit, because the student cannot explain the meaning of limit notation into a formal definition of limit or vice versa. </w:t>
      </w:r>
    </w:p>
    <w:p w14:paraId="06606678" w14:textId="77777777" w:rsidR="00594D5B" w:rsidRPr="00594D5B" w:rsidRDefault="00594D5B" w:rsidP="00594D5B">
      <w:pPr>
        <w:tabs>
          <w:tab w:val="left" w:pos="851"/>
        </w:tabs>
        <w:spacing w:after="0" w:line="360" w:lineRule="auto"/>
        <w:ind w:left="284" w:firstLine="567"/>
        <w:jc w:val="both"/>
        <w:rPr>
          <w:rFonts w:ascii="Georgia" w:hAnsi="Georgia" w:cs="Times New Roman"/>
        </w:rPr>
      </w:pPr>
      <w:r w:rsidRPr="00594D5B">
        <w:rPr>
          <w:rFonts w:ascii="Georgia" w:hAnsi="Georgia" w:cs="Times New Roman"/>
        </w:rPr>
        <w:t>Piaget (Ernest, 1991) has introduced cognitive conflict as a state of mental imbalance in thinking. The imbalance that occurs in the schemata system occurs due to conflicts in thinking. Knowledge schemas stored in a person's memory or brain are understandings that are not integrated with each other or are a state of cognitive conflict. Recognizing the imbalance is personal, only the individual concerned is aware of the cognitive conflict experienced. However, this cognitive conflict can be raised by other people or teachers if they are faced with information that is different from what they understand.</w:t>
      </w:r>
    </w:p>
    <w:p w14:paraId="4A1ECDDB" w14:textId="51F6E7E3" w:rsidR="00594D5B" w:rsidRPr="00594D5B" w:rsidRDefault="00594D5B" w:rsidP="00594D5B">
      <w:pPr>
        <w:tabs>
          <w:tab w:val="left" w:pos="851"/>
        </w:tabs>
        <w:spacing w:after="0" w:line="360" w:lineRule="auto"/>
        <w:ind w:left="284" w:firstLine="567"/>
        <w:jc w:val="both"/>
        <w:rPr>
          <w:rFonts w:ascii="Georgia" w:hAnsi="Georgia" w:cs="Times New Roman"/>
          <w:lang w:val="en-US"/>
        </w:rPr>
      </w:pPr>
      <w:r w:rsidRPr="00594D5B">
        <w:rPr>
          <w:rFonts w:ascii="Georgia" w:hAnsi="Georgia" w:cs="Times New Roman"/>
        </w:rPr>
        <w:t>Fanny (2018) states that cognitive conflict is a conflict between a person's cognitive structure and their environment.</w:t>
      </w:r>
      <w:r w:rsidRPr="00594D5B">
        <w:rPr>
          <w:rStyle w:val="FootnoteReference"/>
          <w:rFonts w:ascii="Georgia" w:hAnsi="Georgia" w:cs="Times New Roman"/>
        </w:rPr>
        <w:footnoteReference w:id="3"/>
      </w:r>
      <w:r w:rsidRPr="00594D5B">
        <w:rPr>
          <w:rFonts w:ascii="Georgia" w:hAnsi="Georgia" w:cs="Times New Roman"/>
        </w:rPr>
        <w:t xml:space="preserve"> Moreover, Kwon &amp; Lee (2001) define cognitive conflict as a conflict that occurs between the cognitive structure and the environment or between conceptions in the cognitive structure.</w:t>
      </w:r>
      <w:r w:rsidRPr="00594D5B">
        <w:rPr>
          <w:rStyle w:val="FootnoteReference"/>
          <w:rFonts w:ascii="Georgia" w:hAnsi="Georgia" w:cs="Times New Roman"/>
        </w:rPr>
        <w:footnoteReference w:id="4"/>
      </w:r>
      <w:r w:rsidRPr="00594D5B">
        <w:rPr>
          <w:rFonts w:ascii="Georgia" w:hAnsi="Georgia" w:cs="Times New Roman"/>
        </w:rPr>
        <w:t xml:space="preserve"> In addition, cognitive conflict can be said as a person's understanding of a concept that is not integrated or contradictory and shows as a state of mental imbalance in the conflicting understanding. Several previous studies stated that research on cognitive conflict needs to be.</w:t>
      </w:r>
      <w:r w:rsidRPr="00594D5B">
        <w:rPr>
          <w:rStyle w:val="FootnoteReference"/>
          <w:rFonts w:ascii="Georgia" w:hAnsi="Georgia" w:cs="Times New Roman"/>
        </w:rPr>
        <w:footnoteReference w:id="5"/>
      </w:r>
      <w:r w:rsidRPr="00594D5B">
        <w:rPr>
          <w:rFonts w:ascii="Georgia" w:hAnsi="Georgia" w:cs="Times New Roman"/>
        </w:rPr>
        <w:t xml:space="preserve"> In addition, cognitive conflict is also a consideration in designing scaffolding for students.</w:t>
      </w:r>
      <w:r w:rsidRPr="00594D5B">
        <w:rPr>
          <w:rStyle w:val="FootnoteReference"/>
          <w:rFonts w:ascii="Georgia" w:hAnsi="Georgia" w:cs="Times New Roman"/>
        </w:rPr>
        <w:footnoteReference w:id="6"/>
      </w:r>
    </w:p>
    <w:p w14:paraId="1ACC388E" w14:textId="77777777" w:rsidR="00594D5B" w:rsidRPr="00594D5B" w:rsidRDefault="00594D5B" w:rsidP="00594D5B">
      <w:pPr>
        <w:tabs>
          <w:tab w:val="left" w:pos="851"/>
        </w:tabs>
        <w:spacing w:after="0" w:line="360" w:lineRule="auto"/>
        <w:ind w:left="284" w:firstLine="567"/>
        <w:jc w:val="both"/>
        <w:rPr>
          <w:rFonts w:ascii="Georgia" w:hAnsi="Georgia" w:cs="Times New Roman"/>
        </w:rPr>
      </w:pPr>
      <w:r w:rsidRPr="00594D5B">
        <w:rPr>
          <w:rFonts w:ascii="Georgia" w:hAnsi="Georgia" w:cs="Times New Roman"/>
        </w:rPr>
        <w:t>Bodrakova (1988) has explained the causes of cognitive conflict, namely "cognitive disequilibrium or conflict induced by awarenesss of contradictory discrepant information</w:t>
      </w:r>
      <w:r w:rsidRPr="00594D5B">
        <w:rPr>
          <w:rFonts w:ascii="Georgia" w:hAnsi="Georgia" w:cs="Times New Roman"/>
          <w:i/>
          <w:spacing w:val="-2"/>
          <w:lang w:val="fi-FI"/>
        </w:rPr>
        <w:t>”.</w:t>
      </w:r>
      <w:r w:rsidRPr="00594D5B">
        <w:rPr>
          <w:rStyle w:val="FootnoteReference"/>
          <w:rFonts w:ascii="Georgia" w:hAnsi="Georgia" w:cs="Times New Roman"/>
          <w:i/>
          <w:spacing w:val="-2"/>
          <w:lang w:val="fi-FI"/>
        </w:rPr>
        <w:footnoteReference w:id="7"/>
      </w:r>
      <w:r w:rsidRPr="00594D5B">
        <w:rPr>
          <w:rFonts w:ascii="Georgia" w:hAnsi="Georgia" w:cs="Times New Roman"/>
        </w:rPr>
        <w:t>According to him, cognitive imbalance or conflict is caused by awareness of contradictory or contradictory illogical information. Cognitive conflict can also occur when a person's expectations and predictions do not match each other. The limits of cognitive conflict described by experts above refer to a state of mental imbalance (disequilibrium) at the time of cognitive conflict.</w:t>
      </w:r>
    </w:p>
    <w:p w14:paraId="27A26BF1" w14:textId="77777777" w:rsidR="00594D5B" w:rsidRPr="00594D5B" w:rsidRDefault="00594D5B" w:rsidP="00594D5B">
      <w:pPr>
        <w:tabs>
          <w:tab w:val="left" w:pos="851"/>
        </w:tabs>
        <w:spacing w:after="0" w:line="360" w:lineRule="auto"/>
        <w:ind w:left="284" w:firstLine="567"/>
        <w:jc w:val="both"/>
        <w:rPr>
          <w:rFonts w:ascii="Georgia" w:hAnsi="Georgia" w:cs="Times New Roman"/>
        </w:rPr>
      </w:pPr>
      <w:r w:rsidRPr="00594D5B">
        <w:rPr>
          <w:rFonts w:ascii="Georgia" w:hAnsi="Georgia" w:cs="Times New Roman"/>
        </w:rPr>
        <w:t>Cognitive conflict of mathematics in college can occur in certain materials.</w:t>
      </w:r>
      <w:r w:rsidRPr="00594D5B">
        <w:rPr>
          <w:rStyle w:val="FootnoteReference"/>
          <w:rFonts w:ascii="Georgia" w:hAnsi="Georgia" w:cs="Times New Roman"/>
        </w:rPr>
        <w:footnoteReference w:id="8"/>
      </w:r>
      <w:r w:rsidRPr="00594D5B">
        <w:rPr>
          <w:rFonts w:ascii="Georgia" w:hAnsi="Georgia" w:cs="Times New Roman"/>
        </w:rPr>
        <w:t xml:space="preserve"> One of them is about the equation of a circle. This material is discussed in Analytical Geometry of Planes and Spaces (AGPS) course which is given in the second semester. As a basic concept in Geometry, an understanding of the circle is needed to build an understanding of other Geometry concepts, such </w:t>
      </w:r>
      <w:r w:rsidRPr="00594D5B">
        <w:rPr>
          <w:rFonts w:ascii="Georgia" w:hAnsi="Georgia" w:cs="Times New Roman"/>
        </w:rPr>
        <w:lastRenderedPageBreak/>
        <w:t>as parabola, ellipse and others. Basically, the student has acquired preliminary knowledge about circles in high school.</w:t>
      </w:r>
    </w:p>
    <w:p w14:paraId="1D13B38D" w14:textId="77777777" w:rsidR="00594D5B" w:rsidRPr="00594D5B" w:rsidRDefault="00594D5B" w:rsidP="00594D5B">
      <w:pPr>
        <w:tabs>
          <w:tab w:val="left" w:pos="851"/>
        </w:tabs>
        <w:spacing w:after="0" w:line="360" w:lineRule="auto"/>
        <w:ind w:left="284" w:firstLine="567"/>
        <w:jc w:val="both"/>
        <w:rPr>
          <w:rFonts w:ascii="Georgia" w:hAnsi="Georgia" w:cs="Times New Roman"/>
          <w:lang w:val="en-ID"/>
        </w:rPr>
      </w:pPr>
      <w:r w:rsidRPr="00594D5B">
        <w:rPr>
          <w:rFonts w:ascii="Georgia" w:hAnsi="Georgia" w:cs="Times New Roman"/>
          <w:lang w:val="en-ID"/>
        </w:rPr>
        <w:t>The transition period of learning about the circle from high school mathematics to college mathematics also has the potential to cause cognitive conflicts for students. Students assume that the circle studied in high school is about how to calculate the equation of a circle analytically. Meanwhile, when studying circles in college is how to draw a circle and discover the formula for the equation of a circle. To build a good student understanding of circles without causing cognitive conflicts, they are required to link their understanding of the procedure for calculating circles, understanding the geometric meaning of circles, and understanding the discovery of general forms of circle equations.</w:t>
      </w:r>
    </w:p>
    <w:p w14:paraId="17DBE824" w14:textId="77777777" w:rsidR="00594D5B" w:rsidRPr="00594D5B" w:rsidRDefault="00594D5B" w:rsidP="00594D5B">
      <w:pPr>
        <w:tabs>
          <w:tab w:val="left" w:pos="851"/>
        </w:tabs>
        <w:spacing w:after="0" w:line="360" w:lineRule="auto"/>
        <w:ind w:left="284" w:firstLine="567"/>
        <w:jc w:val="both"/>
        <w:rPr>
          <w:rFonts w:ascii="Georgia" w:hAnsi="Georgia" w:cs="Times New Roman"/>
          <w:lang w:val="en-US"/>
        </w:rPr>
      </w:pPr>
      <w:r w:rsidRPr="00594D5B">
        <w:rPr>
          <w:rFonts w:ascii="Georgia" w:hAnsi="Georgia" w:cs="Times New Roman"/>
        </w:rPr>
        <w:t>Secondly, lecturers can find out where the incomplete understanding of the concepts possessed by students is the cause of cognitive conflicts. This knowledge will provide information to the lecturer about the characteristics of the mental imbalance that students have in the conflict situation, whether the students are aware of the conflict they are experiencing, or have tried to overcome the conflict they are experiencing, or even if the students are in a situation of anxiety or pressure related to the conflict they are experiencing. After knowing how the conflict experienced by students, the lecturer can develop a lesson to overcome cognitive conflict. For instance, they apply scaffolding based on this in the classroom.</w:t>
      </w:r>
    </w:p>
    <w:p w14:paraId="6A655E3B" w14:textId="77777777" w:rsidR="00594D5B" w:rsidRPr="00594D5B" w:rsidRDefault="00594D5B" w:rsidP="00594D5B">
      <w:pPr>
        <w:tabs>
          <w:tab w:val="left" w:pos="851"/>
        </w:tabs>
        <w:spacing w:after="0" w:line="360" w:lineRule="auto"/>
        <w:ind w:left="284" w:firstLine="567"/>
        <w:jc w:val="both"/>
        <w:rPr>
          <w:rFonts w:ascii="Georgia" w:hAnsi="Georgia" w:cs="Times New Roman"/>
          <w:lang w:val="en-ID"/>
        </w:rPr>
      </w:pPr>
      <w:r w:rsidRPr="00594D5B">
        <w:rPr>
          <w:rFonts w:ascii="Georgia" w:hAnsi="Georgia" w:cs="Times New Roman"/>
          <w:lang w:val="en-ID"/>
        </w:rPr>
        <w:t>Thirdly, lecturers can use cognitive conflict as a learning strategy that aims to make students understand well about the circle concept that is taught to them. Lecturers must be able to identify students' understandings that have the potential to not integrate with each other and then develop them in learning as a complete knowledge construction, providing assistance, guidance, and instructional steps so that students can understand the real circle concept without experiencing cognitive conflicts.</w:t>
      </w:r>
    </w:p>
    <w:p w14:paraId="4DDCDD44" w14:textId="77777777" w:rsidR="00594D5B" w:rsidRPr="00594D5B" w:rsidRDefault="00594D5B" w:rsidP="00594D5B">
      <w:pPr>
        <w:tabs>
          <w:tab w:val="left" w:pos="851"/>
        </w:tabs>
        <w:spacing w:after="0" w:line="360" w:lineRule="auto"/>
        <w:ind w:left="284" w:firstLine="567"/>
        <w:jc w:val="both"/>
        <w:rPr>
          <w:rFonts w:ascii="Georgia" w:hAnsi="Georgia" w:cs="Times New Roman"/>
          <w:lang w:val="en-US"/>
        </w:rPr>
      </w:pPr>
      <w:r w:rsidRPr="00594D5B">
        <w:rPr>
          <w:rFonts w:ascii="Georgia" w:hAnsi="Georgia" w:cs="Times New Roman"/>
        </w:rPr>
        <w:t>Overall, it is necessary to conduct a study to uncover cognitive conflicts in understanding the concept of student circles. In this research, cognitive conflict is seen as internal, namely conflicts between conceptions or understandings in the cognitive structure. In other words, the understanding of the concept is not integrated or contradictory. In addition to knowing the form of cognitive conflict that will arise, it will also describe the factors that cause the emergence of cognitive conflict.</w:t>
      </w:r>
    </w:p>
    <w:p w14:paraId="21CDB900" w14:textId="49CB5EB8" w:rsidR="001A43E8" w:rsidRPr="00723B12" w:rsidRDefault="001A43E8" w:rsidP="00B24C2D">
      <w:pPr>
        <w:spacing w:after="0" w:line="240" w:lineRule="auto"/>
        <w:ind w:firstLine="567"/>
        <w:jc w:val="both"/>
        <w:rPr>
          <w:rFonts w:ascii="Georgia" w:eastAsia="Arial" w:hAnsi="Georgia" w:cs="Times New Roman"/>
          <w:sz w:val="20"/>
          <w:szCs w:val="20"/>
          <w:lang w:val="en-US" w:eastAsia="en-US"/>
        </w:rPr>
      </w:pPr>
    </w:p>
    <w:p w14:paraId="341AF9EE" w14:textId="6AFCDC1D" w:rsidR="00191E4B" w:rsidRPr="00723B12" w:rsidRDefault="00F70FF8" w:rsidP="00B24C2D">
      <w:pPr>
        <w:spacing w:after="0" w:line="360" w:lineRule="auto"/>
        <w:jc w:val="both"/>
        <w:rPr>
          <w:rFonts w:ascii="Georgia" w:eastAsia="Arial" w:hAnsi="Georgia" w:cs="Times New Roman"/>
          <w:b/>
        </w:rPr>
      </w:pPr>
      <w:r w:rsidRPr="00723B12">
        <w:rPr>
          <w:rFonts w:ascii="Georgia" w:eastAsia="Arial" w:hAnsi="Georgia" w:cs="Times New Roman"/>
          <w:b/>
        </w:rPr>
        <w:t>METHODS</w:t>
      </w:r>
      <w:r w:rsidR="00191E4B" w:rsidRPr="00723B12">
        <w:rPr>
          <w:rFonts w:ascii="Georgia" w:eastAsia="Arial" w:hAnsi="Georgia" w:cs="Times New Roman"/>
          <w:b/>
        </w:rPr>
        <w:t xml:space="preserve"> </w:t>
      </w:r>
    </w:p>
    <w:p w14:paraId="3DEF8F28" w14:textId="77777777" w:rsidR="00594D5B" w:rsidRPr="00594D5B" w:rsidRDefault="00594D5B" w:rsidP="00594D5B">
      <w:pPr>
        <w:spacing w:after="0" w:line="360" w:lineRule="auto"/>
        <w:ind w:left="284" w:firstLine="436"/>
        <w:jc w:val="both"/>
        <w:rPr>
          <w:rFonts w:ascii="Georgia" w:hAnsi="Georgia" w:cs="Times New Roman"/>
        </w:rPr>
      </w:pPr>
      <w:r w:rsidRPr="00594D5B">
        <w:rPr>
          <w:rFonts w:ascii="Georgia" w:hAnsi="Georgia" w:cs="Times New Roman"/>
        </w:rPr>
        <w:t xml:space="preserve">The type of research is a qualitative research with exploratory descriptive method. The focus of this research is to find out how the form of cognitive conflict and its causes in students' understanding of the circle. This research is exploratory in nature with the reason that the main data of this study are words and the researcher explores students' understanding of the circle and then conducts an in-depth analysis in determining the forms of cognitive conflict in students' understanding of the circle concept. Exploration of students' cognitive conflicts in understanding </w:t>
      </w:r>
      <w:r w:rsidRPr="00594D5B">
        <w:rPr>
          <w:rFonts w:ascii="Georgia" w:hAnsi="Georgia" w:cs="Times New Roman"/>
        </w:rPr>
        <w:lastRenderedPageBreak/>
        <w:t>the concept of a circle and its images was carried out on student completion in terms of calculating the center point and radius of the circle.</w:t>
      </w:r>
    </w:p>
    <w:p w14:paraId="2A53B44B" w14:textId="77777777" w:rsidR="00594D5B" w:rsidRPr="00594D5B" w:rsidRDefault="00594D5B" w:rsidP="00594D5B">
      <w:pPr>
        <w:spacing w:after="0" w:line="360" w:lineRule="auto"/>
        <w:ind w:left="284" w:firstLine="567"/>
        <w:jc w:val="both"/>
        <w:rPr>
          <w:rFonts w:ascii="Georgia" w:hAnsi="Georgia" w:cs="Times New Roman"/>
        </w:rPr>
      </w:pPr>
      <w:r w:rsidRPr="00594D5B">
        <w:rPr>
          <w:rFonts w:ascii="Georgia" w:hAnsi="Georgia" w:cs="Times New Roman"/>
        </w:rPr>
        <w:t>This research was carried out in the mathematics study program of IAIN Bukittinggi, namely the second semester students who were taking AGPS course as many as 31 people. The instruments used in this study were tests and interview guidelines. The researcher identified the cognitive conflict experienced based on the results of the test. The interview guide is used to find out the factors causing the conflict.</w:t>
      </w:r>
    </w:p>
    <w:p w14:paraId="68387504" w14:textId="77777777" w:rsidR="00594D5B" w:rsidRPr="00594D5B" w:rsidRDefault="00594D5B" w:rsidP="00594D5B">
      <w:pPr>
        <w:spacing w:after="0" w:line="360" w:lineRule="auto"/>
        <w:ind w:left="284" w:firstLine="567"/>
        <w:jc w:val="both"/>
        <w:rPr>
          <w:rFonts w:ascii="Georgia" w:hAnsi="Georgia" w:cs="Times New Roman"/>
        </w:rPr>
      </w:pPr>
      <w:r w:rsidRPr="00594D5B">
        <w:rPr>
          <w:rFonts w:ascii="Georgia" w:hAnsi="Georgia" w:cs="Times New Roman"/>
        </w:rPr>
        <w:t>Before tests and interview guidelines were used to collect research data, these instruments were validated by experts to assess the content and construct validity of the test items. The validation of this instrument was carried out by 3 people who were considered experts in the field of geometry and mathematics learning. For this reason, an instrument validation sheet was developed as a guide for assessment by the validator. The result is valid with improvement. The test questions that have been validated can be seen below:</w:t>
      </w:r>
    </w:p>
    <w:p w14:paraId="58EDF723" w14:textId="42F7AE4B" w:rsidR="00594D5B" w:rsidRPr="00594D5B" w:rsidRDefault="00594D5B" w:rsidP="00594D5B">
      <w:pPr>
        <w:spacing w:line="360" w:lineRule="auto"/>
        <w:jc w:val="both"/>
        <w:rPr>
          <w:rFonts w:ascii="Georgia" w:hAnsi="Georgia"/>
        </w:rPr>
      </w:pPr>
      <w:r w:rsidRPr="00594D5B">
        <w:rPr>
          <w:rFonts w:ascii="Georgia" w:hAnsi="Georgia"/>
          <w:noProof/>
          <w:lang w:val="en-US" w:eastAsia="en-US"/>
        </w:rPr>
        <mc:AlternateContent>
          <mc:Choice Requires="wps">
            <w:drawing>
              <wp:anchor distT="0" distB="0" distL="114300" distR="114300" simplePos="0" relativeHeight="251659264" behindDoc="0" locked="0" layoutInCell="1" allowOverlap="1" wp14:anchorId="080D5675" wp14:editId="68F9672A">
                <wp:simplePos x="0" y="0"/>
                <wp:positionH relativeFrom="column">
                  <wp:posOffset>387985</wp:posOffset>
                </wp:positionH>
                <wp:positionV relativeFrom="paragraph">
                  <wp:posOffset>112395</wp:posOffset>
                </wp:positionV>
                <wp:extent cx="3890645" cy="2182495"/>
                <wp:effectExtent l="0" t="0" r="14605" b="27305"/>
                <wp:wrapNone/>
                <wp:docPr id="4" name="Rectangle 4"/>
                <wp:cNvGraphicFramePr/>
                <a:graphic xmlns:a="http://schemas.openxmlformats.org/drawingml/2006/main">
                  <a:graphicData uri="http://schemas.microsoft.com/office/word/2010/wordprocessingShape">
                    <wps:wsp>
                      <wps:cNvSpPr/>
                      <wps:spPr>
                        <a:xfrm>
                          <a:off x="0" y="0"/>
                          <a:ext cx="3890010" cy="21818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BA79AF" w14:textId="77777777" w:rsidR="00594D5B" w:rsidRDefault="00594D5B" w:rsidP="00594D5B">
                            <w:pPr>
                              <w:pStyle w:val="ListParagraph"/>
                              <w:numPr>
                                <w:ilvl w:val="0"/>
                                <w:numId w:val="15"/>
                              </w:numPr>
                              <w:shd w:val="clear" w:color="auto" w:fill="FFFFFF" w:themeFill="background1"/>
                              <w:spacing w:after="0" w:line="360" w:lineRule="auto"/>
                              <w:ind w:left="851" w:hanging="283"/>
                              <w:contextualSpacing w:val="0"/>
                              <w:jc w:val="both"/>
                              <w:rPr>
                                <w:rFonts w:eastAsiaTheme="minorEastAsia"/>
                                <w:lang w:val="id-ID"/>
                              </w:rPr>
                            </w:pPr>
                            <w:r>
                              <w:t>Gambarkan lingkaran:</w:t>
                            </w:r>
                          </w:p>
                          <w:p w14:paraId="46DAE45F" w14:textId="77777777" w:rsidR="00594D5B" w:rsidRDefault="00AE37C5" w:rsidP="00594D5B">
                            <w:pPr>
                              <w:pStyle w:val="ListParagraph"/>
                              <w:numPr>
                                <w:ilvl w:val="0"/>
                                <w:numId w:val="16"/>
                              </w:numPr>
                              <w:shd w:val="clear" w:color="auto" w:fill="FFFFFF" w:themeFill="background1"/>
                              <w:spacing w:after="0" w:line="360" w:lineRule="auto"/>
                              <w:contextualSpacing w:val="0"/>
                              <w:jc w:val="both"/>
                              <w:rPr>
                                <w:rFonts w:eastAsiaTheme="minorEastAsia"/>
                                <w:lang w:val="id-ID"/>
                              </w:rPr>
                            </w:pPr>
                            <m:oMath>
                              <m:sSup>
                                <m:sSupPr>
                                  <m:ctrlPr>
                                    <w:rPr>
                                      <w:rFonts w:ascii="Cambria Math" w:eastAsia="MS Mincho" w:hAnsi="Cambria Math" w:cs="Times New Roman"/>
                                      <w:i/>
                                      <w:sz w:val="24"/>
                                      <w:szCs w:val="24"/>
                                      <w:lang w:eastAsia="ja-JP"/>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eastAsia="MS Mincho" w:hAnsi="Cambria Math" w:cs="Times New Roman"/>
                                      <w:i/>
                                      <w:sz w:val="24"/>
                                      <w:szCs w:val="24"/>
                                      <w:lang w:eastAsia="ja-JP"/>
                                    </w:rPr>
                                  </m:ctrlPr>
                                </m:sSupPr>
                                <m:e>
                                  <m:r>
                                    <w:rPr>
                                      <w:rFonts w:ascii="Cambria Math" w:hAnsi="Cambria Math"/>
                                    </w:rPr>
                                    <m:t>y</m:t>
                                  </m:r>
                                </m:e>
                                <m:sup>
                                  <m:r>
                                    <w:rPr>
                                      <w:rFonts w:ascii="Cambria Math" w:hAnsi="Cambria Math"/>
                                    </w:rPr>
                                    <m:t>2</m:t>
                                  </m:r>
                                </m:sup>
                              </m:sSup>
                              <m:r>
                                <w:rPr>
                                  <w:rFonts w:ascii="Cambria Math" w:hAnsi="Cambria Math"/>
                                </w:rPr>
                                <m:t>=9</m:t>
                              </m:r>
                            </m:oMath>
                          </w:p>
                          <w:p w14:paraId="5677FA63" w14:textId="77777777" w:rsidR="00594D5B" w:rsidRDefault="00AE37C5" w:rsidP="00594D5B">
                            <w:pPr>
                              <w:pStyle w:val="ListParagraph"/>
                              <w:numPr>
                                <w:ilvl w:val="0"/>
                                <w:numId w:val="16"/>
                              </w:numPr>
                              <w:shd w:val="clear" w:color="auto" w:fill="FFFFFF" w:themeFill="background1"/>
                              <w:spacing w:after="0" w:line="360" w:lineRule="auto"/>
                              <w:contextualSpacing w:val="0"/>
                              <w:jc w:val="both"/>
                              <w:rPr>
                                <w:rFonts w:eastAsiaTheme="minorEastAsia"/>
                                <w:lang w:val="id-ID"/>
                              </w:rPr>
                            </w:pPr>
                            <m:oMath>
                              <m:sSup>
                                <m:sSupPr>
                                  <m:ctrlPr>
                                    <w:rPr>
                                      <w:rFonts w:ascii="Cambria Math" w:eastAsia="MS Mincho" w:hAnsi="Cambria Math" w:cs="Times New Roman"/>
                                      <w:i/>
                                      <w:sz w:val="24"/>
                                      <w:szCs w:val="24"/>
                                      <w:lang w:eastAsia="ja-JP"/>
                                    </w:rPr>
                                  </m:ctrlPr>
                                </m:sSupPr>
                                <m:e>
                                  <m:r>
                                    <w:rPr>
                                      <w:rFonts w:ascii="Cambria Math" w:hAnsi="Cambria Math"/>
                                    </w:rPr>
                                    <m:t>(x+1)</m:t>
                                  </m:r>
                                </m:e>
                                <m:sup>
                                  <m:r>
                                    <w:rPr>
                                      <w:rFonts w:ascii="Cambria Math" w:hAnsi="Cambria Math"/>
                                    </w:rPr>
                                    <m:t>2</m:t>
                                  </m:r>
                                </m:sup>
                              </m:sSup>
                              <m:r>
                                <w:rPr>
                                  <w:rFonts w:ascii="Cambria Math" w:hAnsi="Cambria Math"/>
                                </w:rPr>
                                <m:t>+(</m:t>
                              </m:r>
                              <m:sSup>
                                <m:sSupPr>
                                  <m:ctrlPr>
                                    <w:rPr>
                                      <w:rFonts w:ascii="Cambria Math" w:eastAsia="MS Mincho" w:hAnsi="Cambria Math" w:cs="Times New Roman"/>
                                      <w:i/>
                                      <w:sz w:val="24"/>
                                      <w:szCs w:val="24"/>
                                      <w:lang w:eastAsia="ja-JP"/>
                                    </w:rPr>
                                  </m:ctrlPr>
                                </m:sSupPr>
                                <m:e>
                                  <m:r>
                                    <w:rPr>
                                      <w:rFonts w:ascii="Cambria Math" w:hAnsi="Cambria Math"/>
                                    </w:rPr>
                                    <m:t>y-3)</m:t>
                                  </m:r>
                                </m:e>
                                <m:sup>
                                  <m:r>
                                    <w:rPr>
                                      <w:rFonts w:ascii="Cambria Math" w:hAnsi="Cambria Math"/>
                                    </w:rPr>
                                    <m:t>2</m:t>
                                  </m:r>
                                </m:sup>
                              </m:sSup>
                              <m:r>
                                <w:rPr>
                                  <w:rFonts w:ascii="Cambria Math" w:hAnsi="Cambria Math"/>
                                </w:rPr>
                                <m:t>=58</m:t>
                              </m:r>
                            </m:oMath>
                          </w:p>
                          <w:p w14:paraId="53CD8BB2" w14:textId="77777777" w:rsidR="00594D5B" w:rsidRDefault="00AE37C5" w:rsidP="00594D5B">
                            <w:pPr>
                              <w:pStyle w:val="ListParagraph"/>
                              <w:numPr>
                                <w:ilvl w:val="0"/>
                                <w:numId w:val="16"/>
                              </w:numPr>
                              <w:shd w:val="clear" w:color="auto" w:fill="FFFFFF" w:themeFill="background1"/>
                              <w:spacing w:after="0" w:line="360" w:lineRule="auto"/>
                              <w:contextualSpacing w:val="0"/>
                              <w:jc w:val="both"/>
                              <w:rPr>
                                <w:rFonts w:eastAsiaTheme="minorEastAsia"/>
                                <w:lang w:val="id-ID"/>
                              </w:rPr>
                            </w:pPr>
                            <m:oMath>
                              <m:sSup>
                                <m:sSupPr>
                                  <m:ctrlPr>
                                    <w:rPr>
                                      <w:rFonts w:ascii="Cambria Math" w:eastAsia="MS Mincho" w:hAnsi="Cambria Math" w:cs="Times New Roman"/>
                                      <w:i/>
                                      <w:sz w:val="24"/>
                                      <w:szCs w:val="24"/>
                                      <w:lang w:eastAsia="ja-JP"/>
                                    </w:rPr>
                                  </m:ctrlPr>
                                </m:sSupPr>
                                <m:e>
                                  <m:r>
                                    <w:rPr>
                                      <w:rFonts w:ascii="Cambria Math" w:hAnsi="Cambria Math"/>
                                    </w:rPr>
                                    <m:t>x</m:t>
                                  </m:r>
                                </m:e>
                                <m:sup>
                                  <m:r>
                                    <w:rPr>
                                      <w:rFonts w:ascii="Cambria Math" w:hAnsi="Cambria Math"/>
                                    </w:rPr>
                                    <m:t>2</m:t>
                                  </m:r>
                                </m:sup>
                              </m:sSup>
                              <m:r>
                                <w:rPr>
                                  <w:rFonts w:ascii="Cambria Math" w:hAnsi="Cambria Math"/>
                                </w:rPr>
                                <m:t>+5</m:t>
                              </m:r>
                              <m:sSup>
                                <m:sSupPr>
                                  <m:ctrlPr>
                                    <w:rPr>
                                      <w:rFonts w:ascii="Cambria Math" w:eastAsia="MS Mincho" w:hAnsi="Cambria Math" w:cs="Times New Roman"/>
                                      <w:i/>
                                      <w:sz w:val="24"/>
                                      <w:szCs w:val="24"/>
                                      <w:lang w:eastAsia="ja-JP"/>
                                    </w:rPr>
                                  </m:ctrlPr>
                                </m:sSupPr>
                                <m:e>
                                  <m:r>
                                    <w:rPr>
                                      <w:rFonts w:ascii="Cambria Math" w:hAnsi="Cambria Math"/>
                                    </w:rPr>
                                    <m:t>y</m:t>
                                  </m:r>
                                </m:e>
                                <m:sup>
                                  <m:r>
                                    <w:rPr>
                                      <w:rFonts w:ascii="Cambria Math" w:hAnsi="Cambria Math"/>
                                    </w:rPr>
                                    <m:t>2</m:t>
                                  </m:r>
                                </m:sup>
                              </m:sSup>
                              <m:r>
                                <w:rPr>
                                  <w:rFonts w:ascii="Cambria Math" w:hAnsi="Cambria Math"/>
                                </w:rPr>
                                <m:t>-2x+4y+1=0</m:t>
                              </m:r>
                            </m:oMath>
                          </w:p>
                          <w:p w14:paraId="0F74FC71" w14:textId="77777777" w:rsidR="00594D5B" w:rsidRDefault="00594D5B" w:rsidP="00594D5B">
                            <w:pPr>
                              <w:pStyle w:val="ListParagraph"/>
                              <w:numPr>
                                <w:ilvl w:val="0"/>
                                <w:numId w:val="15"/>
                              </w:numPr>
                              <w:shd w:val="clear" w:color="auto" w:fill="FFFFFF" w:themeFill="background1"/>
                              <w:spacing w:after="0" w:line="360" w:lineRule="auto"/>
                              <w:ind w:left="851" w:hanging="283"/>
                              <w:contextualSpacing w:val="0"/>
                              <w:jc w:val="both"/>
                              <w:rPr>
                                <w:rFonts w:eastAsiaTheme="minorEastAsia"/>
                                <w:lang w:val="id-ID"/>
                              </w:rPr>
                            </w:pPr>
                            <w:r>
                              <w:rPr>
                                <w:rFonts w:eastAsiaTheme="minorEastAsia"/>
                              </w:rPr>
                              <w:t>Tentukan titik pusat dan jari-jari lingkaran dari:</w:t>
                            </w:r>
                          </w:p>
                          <w:p w14:paraId="16052730" w14:textId="77777777" w:rsidR="00594D5B" w:rsidRDefault="00AE37C5" w:rsidP="00594D5B">
                            <w:pPr>
                              <w:pStyle w:val="ListParagraph"/>
                              <w:numPr>
                                <w:ilvl w:val="0"/>
                                <w:numId w:val="17"/>
                              </w:numPr>
                              <w:shd w:val="clear" w:color="auto" w:fill="FFFFFF" w:themeFill="background1"/>
                              <w:spacing w:after="0" w:line="360" w:lineRule="auto"/>
                              <w:ind w:left="1134" w:hanging="283"/>
                              <w:contextualSpacing w:val="0"/>
                              <w:jc w:val="both"/>
                              <w:rPr>
                                <w:rFonts w:eastAsiaTheme="minorEastAsia"/>
                                <w:lang w:val="id-ID"/>
                              </w:rPr>
                            </w:pPr>
                            <m:oMath>
                              <m:sSup>
                                <m:sSupPr>
                                  <m:ctrlPr>
                                    <w:rPr>
                                      <w:rFonts w:ascii="Cambria Math" w:eastAsia="MS Mincho" w:hAnsi="Cambria Math" w:cs="Times New Roman"/>
                                      <w:i/>
                                      <w:sz w:val="24"/>
                                      <w:szCs w:val="24"/>
                                      <w:lang w:eastAsia="ja-JP"/>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eastAsia="MS Mincho" w:hAnsi="Cambria Math" w:cs="Times New Roman"/>
                                      <w:i/>
                                      <w:sz w:val="24"/>
                                      <w:szCs w:val="24"/>
                                      <w:lang w:eastAsia="ja-JP"/>
                                    </w:rPr>
                                  </m:ctrlPr>
                                </m:sSupPr>
                                <m:e>
                                  <m:r>
                                    <w:rPr>
                                      <w:rFonts w:ascii="Cambria Math" w:hAnsi="Cambria Math"/>
                                    </w:rPr>
                                    <m:t>y</m:t>
                                  </m:r>
                                </m:e>
                                <m:sup>
                                  <m:r>
                                    <w:rPr>
                                      <w:rFonts w:ascii="Cambria Math" w:hAnsi="Cambria Math"/>
                                    </w:rPr>
                                    <m:t>2</m:t>
                                  </m:r>
                                </m:sup>
                              </m:sSup>
                              <m:r>
                                <w:rPr>
                                  <w:rFonts w:ascii="Cambria Math" w:hAnsi="Cambria Math"/>
                                </w:rPr>
                                <m:t>=9</m:t>
                              </m:r>
                            </m:oMath>
                          </w:p>
                          <w:p w14:paraId="5EBD0F63" w14:textId="77777777" w:rsidR="00594D5B" w:rsidRDefault="00AE37C5" w:rsidP="00594D5B">
                            <w:pPr>
                              <w:pStyle w:val="ListParagraph"/>
                              <w:numPr>
                                <w:ilvl w:val="0"/>
                                <w:numId w:val="17"/>
                              </w:numPr>
                              <w:shd w:val="clear" w:color="auto" w:fill="FFFFFF" w:themeFill="background1"/>
                              <w:spacing w:after="0" w:line="360" w:lineRule="auto"/>
                              <w:ind w:left="1134" w:hanging="283"/>
                              <w:contextualSpacing w:val="0"/>
                              <w:jc w:val="both"/>
                              <w:rPr>
                                <w:rFonts w:eastAsiaTheme="minorEastAsia"/>
                                <w:lang w:val="id-ID"/>
                              </w:rPr>
                            </w:pPr>
                            <m:oMath>
                              <m:sSup>
                                <m:sSupPr>
                                  <m:ctrlPr>
                                    <w:rPr>
                                      <w:rFonts w:ascii="Cambria Math" w:eastAsia="MS Mincho" w:hAnsi="Cambria Math" w:cs="Times New Roman"/>
                                      <w:i/>
                                      <w:sz w:val="24"/>
                                      <w:szCs w:val="24"/>
                                      <w:lang w:eastAsia="ja-JP"/>
                                    </w:rPr>
                                  </m:ctrlPr>
                                </m:sSupPr>
                                <m:e>
                                  <m:d>
                                    <m:dPr>
                                      <m:ctrlPr>
                                        <w:rPr>
                                          <w:rFonts w:ascii="Cambria Math" w:eastAsia="MS Mincho" w:hAnsi="Cambria Math" w:cs="Times New Roman"/>
                                          <w:i/>
                                          <w:sz w:val="24"/>
                                          <w:szCs w:val="24"/>
                                          <w:lang w:eastAsia="ja-JP"/>
                                        </w:rPr>
                                      </m:ctrlPr>
                                    </m:dPr>
                                    <m:e>
                                      <m:r>
                                        <w:rPr>
                                          <w:rFonts w:ascii="Cambria Math" w:hAnsi="Cambria Math"/>
                                        </w:rPr>
                                        <m:t>x+1</m:t>
                                      </m:r>
                                    </m:e>
                                  </m:d>
                                </m:e>
                                <m:sup>
                                  <m:r>
                                    <w:rPr>
                                      <w:rFonts w:ascii="Cambria Math" w:hAnsi="Cambria Math"/>
                                    </w:rPr>
                                    <m:t>2</m:t>
                                  </m:r>
                                </m:sup>
                              </m:sSup>
                              <m:r>
                                <w:rPr>
                                  <w:rFonts w:ascii="Cambria Math" w:hAnsi="Cambria Math"/>
                                </w:rPr>
                                <m:t>+(</m:t>
                              </m:r>
                              <m:sSup>
                                <m:sSupPr>
                                  <m:ctrlPr>
                                    <w:rPr>
                                      <w:rFonts w:ascii="Cambria Math" w:eastAsia="MS Mincho" w:hAnsi="Cambria Math" w:cs="Times New Roman"/>
                                      <w:i/>
                                      <w:sz w:val="24"/>
                                      <w:szCs w:val="24"/>
                                      <w:lang w:eastAsia="ja-JP"/>
                                    </w:rPr>
                                  </m:ctrlPr>
                                </m:sSupPr>
                                <m:e>
                                  <m:r>
                                    <w:rPr>
                                      <w:rFonts w:ascii="Cambria Math" w:hAnsi="Cambria Math"/>
                                    </w:rPr>
                                    <m:t>y-3)</m:t>
                                  </m:r>
                                </m:e>
                                <m:sup>
                                  <m:r>
                                    <w:rPr>
                                      <w:rFonts w:ascii="Cambria Math" w:hAnsi="Cambria Math"/>
                                    </w:rPr>
                                    <m:t>2</m:t>
                                  </m:r>
                                </m:sup>
                              </m:sSup>
                              <m:r>
                                <w:rPr>
                                  <w:rFonts w:ascii="Cambria Math" w:hAnsi="Cambria Math"/>
                                </w:rPr>
                                <m:t>=58</m:t>
                              </m:r>
                            </m:oMath>
                          </w:p>
                          <w:p w14:paraId="16043696" w14:textId="77777777" w:rsidR="00594D5B" w:rsidRDefault="00AE37C5" w:rsidP="00594D5B">
                            <w:pPr>
                              <w:pStyle w:val="ListParagraph"/>
                              <w:numPr>
                                <w:ilvl w:val="0"/>
                                <w:numId w:val="17"/>
                              </w:numPr>
                              <w:shd w:val="clear" w:color="auto" w:fill="FFFFFF" w:themeFill="background1"/>
                              <w:spacing w:after="0" w:line="360" w:lineRule="auto"/>
                              <w:ind w:left="1134" w:hanging="283"/>
                              <w:contextualSpacing w:val="0"/>
                              <w:jc w:val="both"/>
                              <w:rPr>
                                <w:rFonts w:eastAsiaTheme="minorEastAsia"/>
                                <w:lang w:val="id-ID"/>
                              </w:rPr>
                            </w:pPr>
                            <m:oMath>
                              <m:sSup>
                                <m:sSupPr>
                                  <m:ctrlPr>
                                    <w:rPr>
                                      <w:rFonts w:ascii="Cambria Math" w:eastAsia="MS Mincho" w:hAnsi="Cambria Math" w:cs="Times New Roman"/>
                                      <w:i/>
                                      <w:sz w:val="24"/>
                                      <w:szCs w:val="24"/>
                                      <w:lang w:eastAsia="ja-JP"/>
                                    </w:rPr>
                                  </m:ctrlPr>
                                </m:sSupPr>
                                <m:e>
                                  <m:r>
                                    <w:rPr>
                                      <w:rFonts w:ascii="Cambria Math" w:hAnsi="Cambria Math"/>
                                    </w:rPr>
                                    <m:t>x</m:t>
                                  </m:r>
                                </m:e>
                                <m:sup>
                                  <m:r>
                                    <w:rPr>
                                      <w:rFonts w:ascii="Cambria Math" w:hAnsi="Cambria Math"/>
                                    </w:rPr>
                                    <m:t>2</m:t>
                                  </m:r>
                                </m:sup>
                              </m:sSup>
                              <m:r>
                                <w:rPr>
                                  <w:rFonts w:ascii="Cambria Math" w:hAnsi="Cambria Math"/>
                                </w:rPr>
                                <m:t>+5</m:t>
                              </m:r>
                              <m:sSup>
                                <m:sSupPr>
                                  <m:ctrlPr>
                                    <w:rPr>
                                      <w:rFonts w:ascii="Cambria Math" w:eastAsia="MS Mincho" w:hAnsi="Cambria Math" w:cs="Times New Roman"/>
                                      <w:i/>
                                      <w:sz w:val="24"/>
                                      <w:szCs w:val="24"/>
                                      <w:lang w:eastAsia="ja-JP"/>
                                    </w:rPr>
                                  </m:ctrlPr>
                                </m:sSupPr>
                                <m:e>
                                  <m:r>
                                    <w:rPr>
                                      <w:rFonts w:ascii="Cambria Math" w:hAnsi="Cambria Math"/>
                                    </w:rPr>
                                    <m:t>y</m:t>
                                  </m:r>
                                </m:e>
                                <m:sup>
                                  <m:r>
                                    <w:rPr>
                                      <w:rFonts w:ascii="Cambria Math" w:hAnsi="Cambria Math"/>
                                    </w:rPr>
                                    <m:t>2</m:t>
                                  </m:r>
                                </m:sup>
                              </m:sSup>
                              <m:r>
                                <w:rPr>
                                  <w:rFonts w:ascii="Cambria Math" w:hAnsi="Cambria Math"/>
                                </w:rPr>
                                <m:t>-2x+4y+1=0</m:t>
                              </m:r>
                            </m:oMath>
                          </w:p>
                          <w:p w14:paraId="3AAEE85E" w14:textId="77777777" w:rsidR="00594D5B" w:rsidRDefault="00594D5B" w:rsidP="00594D5B">
                            <w:pPr>
                              <w:pStyle w:val="ListParagraph"/>
                              <w:shd w:val="clear" w:color="auto" w:fill="FFFFFF" w:themeFill="background1"/>
                              <w:spacing w:line="360" w:lineRule="auto"/>
                              <w:ind w:left="851"/>
                              <w:jc w:val="both"/>
                              <w:rPr>
                                <w:rFonts w:eastAsiaTheme="minorEastAsia"/>
                                <w:lang w:val="id-ID"/>
                              </w:rPr>
                            </w:pPr>
                          </w:p>
                          <w:p w14:paraId="631529C0" w14:textId="77777777" w:rsidR="00594D5B" w:rsidRDefault="00594D5B" w:rsidP="00594D5B">
                            <w:pPr>
                              <w:shd w:val="clear" w:color="auto" w:fill="FFFFFF" w:themeFill="background1"/>
                              <w:jc w:val="center"/>
                              <w:rPr>
                                <w:rFonts w:eastAsia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30.55pt;margin-top:8.85pt;width:306.35pt;height:17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" fillcolor="white [3201]" strokecolor="#f79646 [3209]" strokeweight="2pt">
                <v:textbox>
                  <w:txbxContent>
                    <w:p w14:paraId="02BA79AF" w14:textId="77777777" w:rsidR="00594D5B" w:rsidRDefault="00594D5B" w:rsidP="00594D5B">
                      <w:pPr>
                        <w:pStyle w:val="ListParagraph"/>
                        <w:numPr>
                          <w:ilvl w:val="0"/>
                          <w:numId w:val="15"/>
                        </w:numPr>
                        <w:shd w:val="clear" w:color="auto" w:fill="FFFFFF" w:themeFill="background1"/>
                        <w:spacing w:after="0" w:line="360" w:lineRule="auto"/>
                        <w:ind w:left="851" w:hanging="283"/>
                        <w:contextualSpacing w:val="0"/>
                        <w:jc w:val="both"/>
                        <w:rPr>
                          <w:rFonts w:eastAsiaTheme="minorEastAsia"/>
                          <w:lang w:val="id-ID"/>
                        </w:rPr>
                      </w:pPr>
                      <w:proofErr w:type="spellStart"/>
                      <w:r>
                        <w:t>Gambarkan</w:t>
                      </w:r>
                      <w:proofErr w:type="spellEnd"/>
                      <w:r>
                        <w:t xml:space="preserve"> </w:t>
                      </w:r>
                      <w:proofErr w:type="spellStart"/>
                      <w:r>
                        <w:t>lingkaran</w:t>
                      </w:r>
                      <w:proofErr w:type="spellEnd"/>
                      <w:r>
                        <w:t>:</w:t>
                      </w:r>
                    </w:p>
                    <w:p w14:paraId="46DAE45F" w14:textId="77777777" w:rsidR="00594D5B" w:rsidRDefault="00594D5B" w:rsidP="00594D5B">
                      <w:pPr>
                        <w:pStyle w:val="ListParagraph"/>
                        <w:numPr>
                          <w:ilvl w:val="0"/>
                          <w:numId w:val="16"/>
                        </w:numPr>
                        <w:shd w:val="clear" w:color="auto" w:fill="FFFFFF" w:themeFill="background1"/>
                        <w:spacing w:after="0" w:line="360" w:lineRule="auto"/>
                        <w:contextualSpacing w:val="0"/>
                        <w:jc w:val="both"/>
                        <w:rPr>
                          <w:rFonts w:eastAsiaTheme="minorEastAsia"/>
                          <w:lang w:val="id-ID"/>
                        </w:rPr>
                      </w:pPr>
                      <m:oMath>
                        <m:sSup>
                          <m:sSupPr>
                            <m:ctrlPr>
                              <w:rPr>
                                <w:rFonts w:ascii="Cambria Math" w:eastAsia="MS Mincho" w:hAnsi="Cambria Math" w:cs="Times New Roman"/>
                                <w:i/>
                                <w:sz w:val="24"/>
                                <w:szCs w:val="24"/>
                                <w:lang w:eastAsia="ja-JP"/>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eastAsia="MS Mincho" w:hAnsi="Cambria Math" w:cs="Times New Roman"/>
                                <w:i/>
                                <w:sz w:val="24"/>
                                <w:szCs w:val="24"/>
                                <w:lang w:eastAsia="ja-JP"/>
                              </w:rPr>
                            </m:ctrlPr>
                          </m:sSupPr>
                          <m:e>
                            <m:r>
                              <w:rPr>
                                <w:rFonts w:ascii="Cambria Math" w:hAnsi="Cambria Math"/>
                              </w:rPr>
                              <m:t>y</m:t>
                            </m:r>
                          </m:e>
                          <m:sup>
                            <m:r>
                              <w:rPr>
                                <w:rFonts w:ascii="Cambria Math" w:hAnsi="Cambria Math"/>
                              </w:rPr>
                              <m:t>2</m:t>
                            </m:r>
                          </m:sup>
                        </m:sSup>
                        <m:r>
                          <w:rPr>
                            <w:rFonts w:ascii="Cambria Math" w:hAnsi="Cambria Math"/>
                          </w:rPr>
                          <m:t>=9</m:t>
                        </m:r>
                      </m:oMath>
                    </w:p>
                    <w:p w14:paraId="5677FA63" w14:textId="77777777" w:rsidR="00594D5B" w:rsidRDefault="00594D5B" w:rsidP="00594D5B">
                      <w:pPr>
                        <w:pStyle w:val="ListParagraph"/>
                        <w:numPr>
                          <w:ilvl w:val="0"/>
                          <w:numId w:val="16"/>
                        </w:numPr>
                        <w:shd w:val="clear" w:color="auto" w:fill="FFFFFF" w:themeFill="background1"/>
                        <w:spacing w:after="0" w:line="360" w:lineRule="auto"/>
                        <w:contextualSpacing w:val="0"/>
                        <w:jc w:val="both"/>
                        <w:rPr>
                          <w:rFonts w:eastAsiaTheme="minorEastAsia"/>
                          <w:lang w:val="id-ID"/>
                        </w:rPr>
                      </w:pPr>
                      <m:oMath>
                        <m:sSup>
                          <m:sSupPr>
                            <m:ctrlPr>
                              <w:rPr>
                                <w:rFonts w:ascii="Cambria Math" w:eastAsia="MS Mincho" w:hAnsi="Cambria Math" w:cs="Times New Roman"/>
                                <w:i/>
                                <w:sz w:val="24"/>
                                <w:szCs w:val="24"/>
                                <w:lang w:eastAsia="ja-JP"/>
                              </w:rPr>
                            </m:ctrlPr>
                          </m:sSupPr>
                          <m:e>
                            <m:r>
                              <w:rPr>
                                <w:rFonts w:ascii="Cambria Math" w:hAnsi="Cambria Math"/>
                              </w:rPr>
                              <m:t>(x+1)</m:t>
                            </m:r>
                          </m:e>
                          <m:sup>
                            <m:r>
                              <w:rPr>
                                <w:rFonts w:ascii="Cambria Math" w:hAnsi="Cambria Math"/>
                              </w:rPr>
                              <m:t>2</m:t>
                            </m:r>
                          </m:sup>
                        </m:sSup>
                        <m:r>
                          <w:rPr>
                            <w:rFonts w:ascii="Cambria Math" w:hAnsi="Cambria Math"/>
                          </w:rPr>
                          <m:t>+(</m:t>
                        </m:r>
                        <m:sSup>
                          <m:sSupPr>
                            <m:ctrlPr>
                              <w:rPr>
                                <w:rFonts w:ascii="Cambria Math" w:eastAsia="MS Mincho" w:hAnsi="Cambria Math" w:cs="Times New Roman"/>
                                <w:i/>
                                <w:sz w:val="24"/>
                                <w:szCs w:val="24"/>
                                <w:lang w:eastAsia="ja-JP"/>
                              </w:rPr>
                            </m:ctrlPr>
                          </m:sSupPr>
                          <m:e>
                            <m:r>
                              <w:rPr>
                                <w:rFonts w:ascii="Cambria Math" w:hAnsi="Cambria Math"/>
                              </w:rPr>
                              <m:t>y-3)</m:t>
                            </m:r>
                          </m:e>
                          <m:sup>
                            <m:r>
                              <w:rPr>
                                <w:rFonts w:ascii="Cambria Math" w:hAnsi="Cambria Math"/>
                              </w:rPr>
                              <m:t>2</m:t>
                            </m:r>
                          </m:sup>
                        </m:sSup>
                        <m:r>
                          <w:rPr>
                            <w:rFonts w:ascii="Cambria Math" w:hAnsi="Cambria Math"/>
                          </w:rPr>
                          <m:t>=58</m:t>
                        </m:r>
                      </m:oMath>
                    </w:p>
                    <w:p w14:paraId="53CD8BB2" w14:textId="77777777" w:rsidR="00594D5B" w:rsidRDefault="00594D5B" w:rsidP="00594D5B">
                      <w:pPr>
                        <w:pStyle w:val="ListParagraph"/>
                        <w:numPr>
                          <w:ilvl w:val="0"/>
                          <w:numId w:val="16"/>
                        </w:numPr>
                        <w:shd w:val="clear" w:color="auto" w:fill="FFFFFF" w:themeFill="background1"/>
                        <w:spacing w:after="0" w:line="360" w:lineRule="auto"/>
                        <w:contextualSpacing w:val="0"/>
                        <w:jc w:val="both"/>
                        <w:rPr>
                          <w:rFonts w:eastAsiaTheme="minorEastAsia"/>
                          <w:lang w:val="id-ID"/>
                        </w:rPr>
                      </w:pPr>
                      <m:oMath>
                        <m:sSup>
                          <m:sSupPr>
                            <m:ctrlPr>
                              <w:rPr>
                                <w:rFonts w:ascii="Cambria Math" w:eastAsia="MS Mincho" w:hAnsi="Cambria Math" w:cs="Times New Roman"/>
                                <w:i/>
                                <w:sz w:val="24"/>
                                <w:szCs w:val="24"/>
                                <w:lang w:eastAsia="ja-JP"/>
                              </w:rPr>
                            </m:ctrlPr>
                          </m:sSupPr>
                          <m:e>
                            <m:r>
                              <w:rPr>
                                <w:rFonts w:ascii="Cambria Math" w:hAnsi="Cambria Math"/>
                              </w:rPr>
                              <m:t>x</m:t>
                            </m:r>
                          </m:e>
                          <m:sup>
                            <m:r>
                              <w:rPr>
                                <w:rFonts w:ascii="Cambria Math" w:hAnsi="Cambria Math"/>
                              </w:rPr>
                              <m:t>2</m:t>
                            </m:r>
                          </m:sup>
                        </m:sSup>
                        <m:r>
                          <w:rPr>
                            <w:rFonts w:ascii="Cambria Math" w:hAnsi="Cambria Math"/>
                          </w:rPr>
                          <m:t>+5</m:t>
                        </m:r>
                        <m:sSup>
                          <m:sSupPr>
                            <m:ctrlPr>
                              <w:rPr>
                                <w:rFonts w:ascii="Cambria Math" w:eastAsia="MS Mincho" w:hAnsi="Cambria Math" w:cs="Times New Roman"/>
                                <w:i/>
                                <w:sz w:val="24"/>
                                <w:szCs w:val="24"/>
                                <w:lang w:eastAsia="ja-JP"/>
                              </w:rPr>
                            </m:ctrlPr>
                          </m:sSupPr>
                          <m:e>
                            <m:r>
                              <w:rPr>
                                <w:rFonts w:ascii="Cambria Math" w:hAnsi="Cambria Math"/>
                              </w:rPr>
                              <m:t>y</m:t>
                            </m:r>
                          </m:e>
                          <m:sup>
                            <m:r>
                              <w:rPr>
                                <w:rFonts w:ascii="Cambria Math" w:hAnsi="Cambria Math"/>
                              </w:rPr>
                              <m:t>2</m:t>
                            </m:r>
                          </m:sup>
                        </m:sSup>
                        <m:r>
                          <w:rPr>
                            <w:rFonts w:ascii="Cambria Math" w:hAnsi="Cambria Math"/>
                          </w:rPr>
                          <m:t>-2x+4y+1=0</m:t>
                        </m:r>
                      </m:oMath>
                    </w:p>
                    <w:p w14:paraId="0F74FC71" w14:textId="77777777" w:rsidR="00594D5B" w:rsidRDefault="00594D5B" w:rsidP="00594D5B">
                      <w:pPr>
                        <w:pStyle w:val="ListParagraph"/>
                        <w:numPr>
                          <w:ilvl w:val="0"/>
                          <w:numId w:val="15"/>
                        </w:numPr>
                        <w:shd w:val="clear" w:color="auto" w:fill="FFFFFF" w:themeFill="background1"/>
                        <w:spacing w:after="0" w:line="360" w:lineRule="auto"/>
                        <w:ind w:left="851" w:hanging="283"/>
                        <w:contextualSpacing w:val="0"/>
                        <w:jc w:val="both"/>
                        <w:rPr>
                          <w:rFonts w:eastAsiaTheme="minorEastAsia"/>
                          <w:lang w:val="id-ID"/>
                        </w:rPr>
                      </w:pPr>
                      <w:proofErr w:type="spellStart"/>
                      <w:r>
                        <w:rPr>
                          <w:rFonts w:eastAsiaTheme="minorEastAsia"/>
                        </w:rPr>
                        <w:t>Tentukan</w:t>
                      </w:r>
                      <w:proofErr w:type="spellEnd"/>
                      <w:r>
                        <w:rPr>
                          <w:rFonts w:eastAsiaTheme="minorEastAsia"/>
                        </w:rPr>
                        <w:t xml:space="preserve"> </w:t>
                      </w:r>
                      <w:proofErr w:type="spellStart"/>
                      <w:r>
                        <w:rPr>
                          <w:rFonts w:eastAsiaTheme="minorEastAsia"/>
                        </w:rPr>
                        <w:t>titik</w:t>
                      </w:r>
                      <w:proofErr w:type="spellEnd"/>
                      <w:r>
                        <w:rPr>
                          <w:rFonts w:eastAsiaTheme="minorEastAsia"/>
                        </w:rPr>
                        <w:t xml:space="preserve"> </w:t>
                      </w:r>
                      <w:proofErr w:type="spellStart"/>
                      <w:r>
                        <w:rPr>
                          <w:rFonts w:eastAsiaTheme="minorEastAsia"/>
                        </w:rPr>
                        <w:t>pusat</w:t>
                      </w:r>
                      <w:proofErr w:type="spellEnd"/>
                      <w:r>
                        <w:rPr>
                          <w:rFonts w:eastAsiaTheme="minorEastAsia"/>
                        </w:rPr>
                        <w:t xml:space="preserve"> </w:t>
                      </w:r>
                      <w:proofErr w:type="spellStart"/>
                      <w:r>
                        <w:rPr>
                          <w:rFonts w:eastAsiaTheme="minorEastAsia"/>
                        </w:rPr>
                        <w:t>dan</w:t>
                      </w:r>
                      <w:proofErr w:type="spellEnd"/>
                      <w:r>
                        <w:rPr>
                          <w:rFonts w:eastAsiaTheme="minorEastAsia"/>
                        </w:rPr>
                        <w:t xml:space="preserve"> </w:t>
                      </w:r>
                      <w:proofErr w:type="spellStart"/>
                      <w:r>
                        <w:rPr>
                          <w:rFonts w:eastAsiaTheme="minorEastAsia"/>
                        </w:rPr>
                        <w:t>jari-jari</w:t>
                      </w:r>
                      <w:proofErr w:type="spellEnd"/>
                      <w:r>
                        <w:rPr>
                          <w:rFonts w:eastAsiaTheme="minorEastAsia"/>
                        </w:rPr>
                        <w:t xml:space="preserve"> </w:t>
                      </w:r>
                      <w:proofErr w:type="spellStart"/>
                      <w:r>
                        <w:rPr>
                          <w:rFonts w:eastAsiaTheme="minorEastAsia"/>
                        </w:rPr>
                        <w:t>lingkaran</w:t>
                      </w:r>
                      <w:proofErr w:type="spellEnd"/>
                      <w:r>
                        <w:rPr>
                          <w:rFonts w:eastAsiaTheme="minorEastAsia"/>
                        </w:rPr>
                        <w:t xml:space="preserve"> </w:t>
                      </w:r>
                      <w:proofErr w:type="spellStart"/>
                      <w:r>
                        <w:rPr>
                          <w:rFonts w:eastAsiaTheme="minorEastAsia"/>
                        </w:rPr>
                        <w:t>dari</w:t>
                      </w:r>
                      <w:proofErr w:type="spellEnd"/>
                      <w:r>
                        <w:rPr>
                          <w:rFonts w:eastAsiaTheme="minorEastAsia"/>
                        </w:rPr>
                        <w:t>:</w:t>
                      </w:r>
                    </w:p>
                    <w:p w14:paraId="16052730" w14:textId="77777777" w:rsidR="00594D5B" w:rsidRDefault="00594D5B" w:rsidP="00594D5B">
                      <w:pPr>
                        <w:pStyle w:val="ListParagraph"/>
                        <w:numPr>
                          <w:ilvl w:val="0"/>
                          <w:numId w:val="17"/>
                        </w:numPr>
                        <w:shd w:val="clear" w:color="auto" w:fill="FFFFFF" w:themeFill="background1"/>
                        <w:spacing w:after="0" w:line="360" w:lineRule="auto"/>
                        <w:ind w:left="1134" w:hanging="283"/>
                        <w:contextualSpacing w:val="0"/>
                        <w:jc w:val="both"/>
                        <w:rPr>
                          <w:rFonts w:eastAsiaTheme="minorEastAsia"/>
                          <w:lang w:val="id-ID"/>
                        </w:rPr>
                      </w:pPr>
                      <m:oMath>
                        <m:sSup>
                          <m:sSupPr>
                            <m:ctrlPr>
                              <w:rPr>
                                <w:rFonts w:ascii="Cambria Math" w:eastAsia="MS Mincho" w:hAnsi="Cambria Math" w:cs="Times New Roman"/>
                                <w:i/>
                                <w:sz w:val="24"/>
                                <w:szCs w:val="24"/>
                                <w:lang w:eastAsia="ja-JP"/>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eastAsia="MS Mincho" w:hAnsi="Cambria Math" w:cs="Times New Roman"/>
                                <w:i/>
                                <w:sz w:val="24"/>
                                <w:szCs w:val="24"/>
                                <w:lang w:eastAsia="ja-JP"/>
                              </w:rPr>
                            </m:ctrlPr>
                          </m:sSupPr>
                          <m:e>
                            <m:r>
                              <w:rPr>
                                <w:rFonts w:ascii="Cambria Math" w:hAnsi="Cambria Math"/>
                              </w:rPr>
                              <m:t>y</m:t>
                            </m:r>
                          </m:e>
                          <m:sup>
                            <m:r>
                              <w:rPr>
                                <w:rFonts w:ascii="Cambria Math" w:hAnsi="Cambria Math"/>
                              </w:rPr>
                              <m:t>2</m:t>
                            </m:r>
                          </m:sup>
                        </m:sSup>
                        <m:r>
                          <w:rPr>
                            <w:rFonts w:ascii="Cambria Math" w:hAnsi="Cambria Math"/>
                          </w:rPr>
                          <m:t>=9</m:t>
                        </m:r>
                      </m:oMath>
                    </w:p>
                    <w:p w14:paraId="5EBD0F63" w14:textId="77777777" w:rsidR="00594D5B" w:rsidRDefault="00594D5B" w:rsidP="00594D5B">
                      <w:pPr>
                        <w:pStyle w:val="ListParagraph"/>
                        <w:numPr>
                          <w:ilvl w:val="0"/>
                          <w:numId w:val="17"/>
                        </w:numPr>
                        <w:shd w:val="clear" w:color="auto" w:fill="FFFFFF" w:themeFill="background1"/>
                        <w:spacing w:after="0" w:line="360" w:lineRule="auto"/>
                        <w:ind w:left="1134" w:hanging="283"/>
                        <w:contextualSpacing w:val="0"/>
                        <w:jc w:val="both"/>
                        <w:rPr>
                          <w:rFonts w:eastAsiaTheme="minorEastAsia"/>
                          <w:lang w:val="id-ID"/>
                        </w:rPr>
                      </w:pPr>
                      <m:oMath>
                        <m:sSup>
                          <m:sSupPr>
                            <m:ctrlPr>
                              <w:rPr>
                                <w:rFonts w:ascii="Cambria Math" w:eastAsia="MS Mincho" w:hAnsi="Cambria Math" w:cs="Times New Roman"/>
                                <w:i/>
                                <w:sz w:val="24"/>
                                <w:szCs w:val="24"/>
                                <w:lang w:eastAsia="ja-JP"/>
                              </w:rPr>
                            </m:ctrlPr>
                          </m:sSupPr>
                          <m:e>
                            <m:d>
                              <m:dPr>
                                <m:ctrlPr>
                                  <w:rPr>
                                    <w:rFonts w:ascii="Cambria Math" w:eastAsia="MS Mincho" w:hAnsi="Cambria Math" w:cs="Times New Roman"/>
                                    <w:i/>
                                    <w:sz w:val="24"/>
                                    <w:szCs w:val="24"/>
                                    <w:lang w:eastAsia="ja-JP"/>
                                  </w:rPr>
                                </m:ctrlPr>
                              </m:dPr>
                              <m:e>
                                <m:r>
                                  <w:rPr>
                                    <w:rFonts w:ascii="Cambria Math" w:hAnsi="Cambria Math"/>
                                  </w:rPr>
                                  <m:t>x+1</m:t>
                                </m:r>
                              </m:e>
                            </m:d>
                          </m:e>
                          <m:sup>
                            <m:r>
                              <w:rPr>
                                <w:rFonts w:ascii="Cambria Math" w:hAnsi="Cambria Math"/>
                              </w:rPr>
                              <m:t>2</m:t>
                            </m:r>
                          </m:sup>
                        </m:sSup>
                        <m:r>
                          <w:rPr>
                            <w:rFonts w:ascii="Cambria Math" w:hAnsi="Cambria Math"/>
                          </w:rPr>
                          <m:t>+(</m:t>
                        </m:r>
                        <m:sSup>
                          <m:sSupPr>
                            <m:ctrlPr>
                              <w:rPr>
                                <w:rFonts w:ascii="Cambria Math" w:eastAsia="MS Mincho" w:hAnsi="Cambria Math" w:cs="Times New Roman"/>
                                <w:i/>
                                <w:sz w:val="24"/>
                                <w:szCs w:val="24"/>
                                <w:lang w:eastAsia="ja-JP"/>
                              </w:rPr>
                            </m:ctrlPr>
                          </m:sSupPr>
                          <m:e>
                            <m:r>
                              <w:rPr>
                                <w:rFonts w:ascii="Cambria Math" w:hAnsi="Cambria Math"/>
                              </w:rPr>
                              <m:t>y-3)</m:t>
                            </m:r>
                          </m:e>
                          <m:sup>
                            <m:r>
                              <w:rPr>
                                <w:rFonts w:ascii="Cambria Math" w:hAnsi="Cambria Math"/>
                              </w:rPr>
                              <m:t>2</m:t>
                            </m:r>
                          </m:sup>
                        </m:sSup>
                        <m:r>
                          <w:rPr>
                            <w:rFonts w:ascii="Cambria Math" w:hAnsi="Cambria Math"/>
                          </w:rPr>
                          <m:t>=58</m:t>
                        </m:r>
                      </m:oMath>
                    </w:p>
                    <w:p w14:paraId="16043696" w14:textId="77777777" w:rsidR="00594D5B" w:rsidRDefault="00594D5B" w:rsidP="00594D5B">
                      <w:pPr>
                        <w:pStyle w:val="ListParagraph"/>
                        <w:numPr>
                          <w:ilvl w:val="0"/>
                          <w:numId w:val="17"/>
                        </w:numPr>
                        <w:shd w:val="clear" w:color="auto" w:fill="FFFFFF" w:themeFill="background1"/>
                        <w:spacing w:after="0" w:line="360" w:lineRule="auto"/>
                        <w:ind w:left="1134" w:hanging="283"/>
                        <w:contextualSpacing w:val="0"/>
                        <w:jc w:val="both"/>
                        <w:rPr>
                          <w:rFonts w:eastAsiaTheme="minorEastAsia"/>
                          <w:lang w:val="id-ID"/>
                        </w:rPr>
                      </w:pPr>
                      <m:oMath>
                        <m:sSup>
                          <m:sSupPr>
                            <m:ctrlPr>
                              <w:rPr>
                                <w:rFonts w:ascii="Cambria Math" w:eastAsia="MS Mincho" w:hAnsi="Cambria Math" w:cs="Times New Roman"/>
                                <w:i/>
                                <w:sz w:val="24"/>
                                <w:szCs w:val="24"/>
                                <w:lang w:eastAsia="ja-JP"/>
                              </w:rPr>
                            </m:ctrlPr>
                          </m:sSupPr>
                          <m:e>
                            <m:r>
                              <w:rPr>
                                <w:rFonts w:ascii="Cambria Math" w:hAnsi="Cambria Math"/>
                              </w:rPr>
                              <m:t>x</m:t>
                            </m:r>
                          </m:e>
                          <m:sup>
                            <m:r>
                              <w:rPr>
                                <w:rFonts w:ascii="Cambria Math" w:hAnsi="Cambria Math"/>
                              </w:rPr>
                              <m:t>2</m:t>
                            </m:r>
                          </m:sup>
                        </m:sSup>
                        <m:r>
                          <w:rPr>
                            <w:rFonts w:ascii="Cambria Math" w:hAnsi="Cambria Math"/>
                          </w:rPr>
                          <m:t>+5</m:t>
                        </m:r>
                        <m:sSup>
                          <m:sSupPr>
                            <m:ctrlPr>
                              <w:rPr>
                                <w:rFonts w:ascii="Cambria Math" w:eastAsia="MS Mincho" w:hAnsi="Cambria Math" w:cs="Times New Roman"/>
                                <w:i/>
                                <w:sz w:val="24"/>
                                <w:szCs w:val="24"/>
                                <w:lang w:eastAsia="ja-JP"/>
                              </w:rPr>
                            </m:ctrlPr>
                          </m:sSupPr>
                          <m:e>
                            <m:r>
                              <w:rPr>
                                <w:rFonts w:ascii="Cambria Math" w:hAnsi="Cambria Math"/>
                              </w:rPr>
                              <m:t>y</m:t>
                            </m:r>
                          </m:e>
                          <m:sup>
                            <m:r>
                              <w:rPr>
                                <w:rFonts w:ascii="Cambria Math" w:hAnsi="Cambria Math"/>
                              </w:rPr>
                              <m:t>2</m:t>
                            </m:r>
                          </m:sup>
                        </m:sSup>
                        <m:r>
                          <w:rPr>
                            <w:rFonts w:ascii="Cambria Math" w:hAnsi="Cambria Math"/>
                          </w:rPr>
                          <m:t>-2x+4y+1=0</m:t>
                        </m:r>
                      </m:oMath>
                    </w:p>
                    <w:p w14:paraId="3AAEE85E" w14:textId="77777777" w:rsidR="00594D5B" w:rsidRDefault="00594D5B" w:rsidP="00594D5B">
                      <w:pPr>
                        <w:pStyle w:val="ListParagraph"/>
                        <w:shd w:val="clear" w:color="auto" w:fill="FFFFFF" w:themeFill="background1"/>
                        <w:spacing w:line="360" w:lineRule="auto"/>
                        <w:ind w:left="851"/>
                        <w:jc w:val="both"/>
                        <w:rPr>
                          <w:rFonts w:eastAsiaTheme="minorEastAsia"/>
                          <w:lang w:val="id-ID"/>
                        </w:rPr>
                      </w:pPr>
                    </w:p>
                    <w:p w14:paraId="631529C0" w14:textId="77777777" w:rsidR="00594D5B" w:rsidRDefault="00594D5B" w:rsidP="00594D5B">
                      <w:pPr>
                        <w:shd w:val="clear" w:color="auto" w:fill="FFFFFF" w:themeFill="background1"/>
                        <w:jc w:val="center"/>
                        <w:rPr>
                          <w:rFonts w:eastAsiaTheme="minorHAnsi"/>
                          <w:lang w:val="en-US"/>
                        </w:rPr>
                      </w:pPr>
                    </w:p>
                  </w:txbxContent>
                </v:textbox>
              </v:rect>
            </w:pict>
          </mc:Fallback>
        </mc:AlternateContent>
      </w:r>
    </w:p>
    <w:p w14:paraId="3C2EEE01" w14:textId="77777777" w:rsidR="00594D5B" w:rsidRPr="00594D5B" w:rsidRDefault="00594D5B" w:rsidP="00594D5B">
      <w:pPr>
        <w:pStyle w:val="ListParagraph"/>
        <w:spacing w:line="360" w:lineRule="auto"/>
        <w:ind w:left="851"/>
        <w:jc w:val="both"/>
        <w:rPr>
          <w:rFonts w:ascii="Georgia" w:eastAsiaTheme="minorEastAsia" w:hAnsi="Georgia"/>
        </w:rPr>
      </w:pPr>
    </w:p>
    <w:p w14:paraId="6F6D729A" w14:textId="77777777" w:rsidR="00594D5B" w:rsidRPr="00594D5B" w:rsidRDefault="00594D5B" w:rsidP="00594D5B">
      <w:pPr>
        <w:pStyle w:val="ListParagraph"/>
        <w:spacing w:line="360" w:lineRule="auto"/>
        <w:ind w:left="851"/>
        <w:jc w:val="both"/>
        <w:rPr>
          <w:rFonts w:ascii="Georgia" w:eastAsiaTheme="minorEastAsia" w:hAnsi="Georgia"/>
          <w:lang w:val="id-ID"/>
        </w:rPr>
      </w:pPr>
    </w:p>
    <w:p w14:paraId="54D280C5" w14:textId="77777777" w:rsidR="00594D5B" w:rsidRPr="00594D5B" w:rsidRDefault="00594D5B" w:rsidP="00594D5B">
      <w:pPr>
        <w:pStyle w:val="ListParagraph"/>
        <w:spacing w:line="360" w:lineRule="auto"/>
        <w:ind w:left="851"/>
        <w:jc w:val="both"/>
        <w:rPr>
          <w:rFonts w:ascii="Georgia" w:eastAsiaTheme="minorEastAsia" w:hAnsi="Georgia"/>
        </w:rPr>
      </w:pPr>
    </w:p>
    <w:p w14:paraId="2AA2E51A" w14:textId="77777777" w:rsidR="00594D5B" w:rsidRPr="00594D5B" w:rsidRDefault="00594D5B" w:rsidP="00594D5B">
      <w:pPr>
        <w:pStyle w:val="ListParagraph"/>
        <w:spacing w:line="360" w:lineRule="auto"/>
        <w:ind w:left="851"/>
        <w:jc w:val="both"/>
        <w:rPr>
          <w:rFonts w:ascii="Georgia" w:eastAsiaTheme="minorEastAsia" w:hAnsi="Georgia"/>
        </w:rPr>
      </w:pPr>
    </w:p>
    <w:p w14:paraId="463BE0A0" w14:textId="77777777" w:rsidR="00594D5B" w:rsidRPr="00594D5B" w:rsidRDefault="00594D5B" w:rsidP="00594D5B">
      <w:pPr>
        <w:pStyle w:val="ListParagraph"/>
        <w:spacing w:line="360" w:lineRule="auto"/>
        <w:ind w:left="851"/>
        <w:jc w:val="both"/>
        <w:rPr>
          <w:rFonts w:ascii="Georgia" w:eastAsiaTheme="minorEastAsia" w:hAnsi="Georgia"/>
        </w:rPr>
      </w:pPr>
    </w:p>
    <w:p w14:paraId="02252D39" w14:textId="77777777" w:rsidR="00594D5B" w:rsidRPr="00594D5B" w:rsidRDefault="00594D5B" w:rsidP="00594D5B">
      <w:pPr>
        <w:pStyle w:val="ListParagraph"/>
        <w:spacing w:line="360" w:lineRule="auto"/>
        <w:ind w:left="851"/>
        <w:jc w:val="both"/>
        <w:rPr>
          <w:rFonts w:ascii="Georgia" w:eastAsiaTheme="minorEastAsia" w:hAnsi="Georgia"/>
        </w:rPr>
      </w:pPr>
    </w:p>
    <w:p w14:paraId="6744A80A" w14:textId="77777777" w:rsidR="00594D5B" w:rsidRPr="00594D5B" w:rsidRDefault="00594D5B" w:rsidP="00594D5B">
      <w:pPr>
        <w:pStyle w:val="ListParagraph"/>
        <w:spacing w:line="360" w:lineRule="auto"/>
        <w:ind w:left="851"/>
        <w:jc w:val="both"/>
        <w:rPr>
          <w:rFonts w:ascii="Georgia" w:eastAsiaTheme="minorEastAsia" w:hAnsi="Georgia"/>
        </w:rPr>
      </w:pPr>
    </w:p>
    <w:p w14:paraId="4FEF7AA6" w14:textId="77777777" w:rsidR="00594D5B" w:rsidRPr="00594D5B" w:rsidRDefault="00594D5B" w:rsidP="00594D5B">
      <w:pPr>
        <w:pStyle w:val="ListParagraph"/>
        <w:spacing w:line="360" w:lineRule="auto"/>
        <w:ind w:left="851"/>
        <w:jc w:val="both"/>
        <w:rPr>
          <w:rFonts w:ascii="Georgia" w:eastAsiaTheme="minorEastAsia" w:hAnsi="Georgia"/>
        </w:rPr>
      </w:pPr>
    </w:p>
    <w:p w14:paraId="31411C2E" w14:textId="77777777" w:rsidR="00594D5B" w:rsidRPr="00594D5B" w:rsidRDefault="00594D5B" w:rsidP="00594D5B">
      <w:pPr>
        <w:spacing w:after="0" w:line="360" w:lineRule="auto"/>
        <w:jc w:val="both"/>
        <w:rPr>
          <w:rFonts w:ascii="Georgia" w:eastAsiaTheme="minorHAnsi" w:hAnsi="Georgia" w:cs="Times New Roman"/>
        </w:rPr>
      </w:pPr>
    </w:p>
    <w:p w14:paraId="29E2DD70" w14:textId="77777777" w:rsidR="00594D5B" w:rsidRPr="00594D5B" w:rsidRDefault="00594D5B" w:rsidP="00594D5B">
      <w:pPr>
        <w:spacing w:after="0" w:line="360" w:lineRule="auto"/>
        <w:ind w:left="284" w:firstLine="720"/>
        <w:jc w:val="both"/>
        <w:rPr>
          <w:rFonts w:ascii="Georgia" w:hAnsi="Georgia" w:cs="Times New Roman"/>
        </w:rPr>
      </w:pPr>
      <w:r w:rsidRPr="00594D5B">
        <w:rPr>
          <w:rFonts w:ascii="Georgia" w:hAnsi="Georgia" w:cs="Times New Roman"/>
        </w:rPr>
        <w:t>The two questions above were given at different times, where the first question was given first and then the answer sheets were collected. After that, the second question was given a few minutes later. To see the validity of the test results, time triangulation is used.</w:t>
      </w:r>
    </w:p>
    <w:p w14:paraId="7F55EB86" w14:textId="77777777" w:rsidR="00594D5B" w:rsidRPr="00594D5B" w:rsidRDefault="00594D5B" w:rsidP="00594D5B">
      <w:pPr>
        <w:spacing w:after="0" w:line="360" w:lineRule="auto"/>
        <w:ind w:left="284" w:firstLine="720"/>
        <w:jc w:val="both"/>
        <w:rPr>
          <w:rFonts w:ascii="Georgia" w:hAnsi="Georgia" w:cs="Times New Roman"/>
        </w:rPr>
      </w:pPr>
      <w:r w:rsidRPr="00594D5B">
        <w:rPr>
          <w:rFonts w:ascii="Georgia" w:hAnsi="Georgia" w:cs="Times New Roman"/>
        </w:rPr>
        <w:t>Furthermore, the interviews in this study were structured interviews guided by interview guidelines that had been developed by researchers and validated by experts. This interview was conducted on selected research subjects, namely students who were determined to meet the criteria as students who experienced cognitive conflict based on the analysis of understanding data about the circle concept obtained from the results of the test.</w:t>
      </w:r>
    </w:p>
    <w:p w14:paraId="1E396BB8" w14:textId="77777777" w:rsidR="00594D5B" w:rsidRPr="00594D5B" w:rsidRDefault="00594D5B" w:rsidP="00594D5B">
      <w:pPr>
        <w:spacing w:after="0" w:line="360" w:lineRule="auto"/>
        <w:ind w:left="284" w:firstLine="720"/>
        <w:jc w:val="both"/>
        <w:rPr>
          <w:rFonts w:ascii="Georgia" w:hAnsi="Georgia" w:cs="Times New Roman"/>
        </w:rPr>
      </w:pPr>
      <w:r w:rsidRPr="00594D5B">
        <w:rPr>
          <w:rFonts w:ascii="Georgia" w:hAnsi="Georgia" w:cs="Times New Roman"/>
        </w:rPr>
        <w:t>The interviews conducted were to clarify the data obtained from the test results and data that had not been revealed in writing in the administration of the test, such as what factors caused cognitive conflicts. The interview guide refers to the type of cognitive conflict investigated in this study, which is internal which is a conflict between the subject's understandings in its cognitive structure, the characteristics of imbalances in cognitive conflict situations which are combined from the theory proposed by Lee, et.al (2003) and namely: (1) unconsciousness and awareness of conflict situations (Unrecognized and Recognized of Contradiction), (2) paying attention to conflict situations (Interest of contradictions), (3) experiencing anxiety in contradictions, and (4) reassessing and trying to resolve the conflict (Cognitive Reappraisal)</w:t>
      </w:r>
      <w:r w:rsidRPr="00594D5B">
        <w:rPr>
          <w:rFonts w:ascii="Georgia" w:hAnsi="Georgia" w:cs="Times New Roman"/>
          <w:i/>
        </w:rPr>
        <w:t>.</w:t>
      </w:r>
      <w:r w:rsidRPr="00594D5B">
        <w:rPr>
          <w:rStyle w:val="FootnoteReference"/>
          <w:rFonts w:ascii="Georgia" w:hAnsi="Georgia" w:cs="Times New Roman"/>
          <w:i/>
        </w:rPr>
        <w:footnoteReference w:id="9"/>
      </w:r>
      <w:r w:rsidRPr="00594D5B">
        <w:rPr>
          <w:rFonts w:ascii="Georgia" w:hAnsi="Georgia" w:cs="Times New Roman"/>
        </w:rPr>
        <w:t xml:space="preserve"> Investigation results Kwon, et.al. This becomes a reference in this study to identify the characteristics of students' mental imbalances when experiencing cognitive conflicts.</w:t>
      </w:r>
    </w:p>
    <w:p w14:paraId="02E04F0F" w14:textId="77777777" w:rsidR="001C1C20" w:rsidRPr="001C1C20" w:rsidRDefault="001C1C20" w:rsidP="001C1C20">
      <w:pPr>
        <w:spacing w:after="0"/>
        <w:jc w:val="both"/>
        <w:rPr>
          <w:rFonts w:ascii="Georgia" w:eastAsia="Arial" w:hAnsi="Georgia" w:cs="Times New Roman"/>
          <w:b/>
          <w:spacing w:val="-1"/>
          <w:lang w:val="en-US"/>
        </w:rPr>
      </w:pPr>
    </w:p>
    <w:p w14:paraId="79E402D1" w14:textId="019546B1" w:rsidR="00F70FF8" w:rsidRPr="00723B12" w:rsidRDefault="001C1C20" w:rsidP="00B24C2D">
      <w:pPr>
        <w:spacing w:after="0" w:line="360" w:lineRule="auto"/>
        <w:jc w:val="both"/>
        <w:rPr>
          <w:rFonts w:ascii="Georgia" w:eastAsia="Arial" w:hAnsi="Georgia" w:cs="Times New Roman"/>
          <w:b/>
          <w:lang w:val="en-US"/>
        </w:rPr>
      </w:pPr>
      <w:r>
        <w:rPr>
          <w:rFonts w:ascii="Georgia" w:eastAsia="Arial" w:hAnsi="Georgia" w:cs="Times New Roman"/>
          <w:b/>
          <w:lang w:val="en-US"/>
        </w:rPr>
        <w:t xml:space="preserve">FINDINGS </w:t>
      </w:r>
      <w:r w:rsidR="00F70FF8" w:rsidRPr="00723B12">
        <w:rPr>
          <w:rFonts w:ascii="Georgia" w:eastAsia="Arial" w:hAnsi="Georgia" w:cs="Times New Roman"/>
          <w:b/>
        </w:rPr>
        <w:t xml:space="preserve"> AND DISCUSSION</w:t>
      </w:r>
      <w:r w:rsidR="00723B12">
        <w:rPr>
          <w:rFonts w:ascii="Georgia" w:eastAsia="Arial" w:hAnsi="Georgia" w:cs="Times New Roman"/>
          <w:b/>
          <w:lang w:val="en-US"/>
        </w:rPr>
        <w:t xml:space="preserve"> </w:t>
      </w:r>
    </w:p>
    <w:p w14:paraId="1151A46F" w14:textId="77777777" w:rsidR="00594D5B" w:rsidRPr="00594D5B" w:rsidRDefault="00594D5B" w:rsidP="00594D5B">
      <w:pPr>
        <w:spacing w:after="0" w:line="360" w:lineRule="auto"/>
        <w:ind w:left="426" w:firstLine="567"/>
        <w:jc w:val="both"/>
        <w:rPr>
          <w:rFonts w:ascii="Georgia" w:hAnsi="Georgia" w:cs="Times New Roman"/>
        </w:rPr>
      </w:pPr>
      <w:r w:rsidRPr="00594D5B">
        <w:rPr>
          <w:rFonts w:ascii="Georgia" w:hAnsi="Georgia" w:cs="Times New Roman"/>
        </w:rPr>
        <w:t>The main data of this research is descriptive qualitative data which is analyzed to answer research questions. The findings regarding the cognitive conflicts experienced by students in solving the equation of a circle are described below:</w:t>
      </w:r>
    </w:p>
    <w:p w14:paraId="041DF771" w14:textId="77777777" w:rsidR="00594D5B" w:rsidRPr="00594D5B" w:rsidRDefault="00594D5B" w:rsidP="00594D5B">
      <w:pPr>
        <w:pStyle w:val="ListParagraph"/>
        <w:spacing w:after="0" w:line="360" w:lineRule="auto"/>
        <w:ind w:left="284"/>
        <w:jc w:val="center"/>
        <w:rPr>
          <w:rFonts w:ascii="Georgia" w:hAnsi="Georgia" w:cs="Times New Roman"/>
          <w:b/>
        </w:rPr>
      </w:pPr>
      <w:r w:rsidRPr="00594D5B">
        <w:rPr>
          <w:rFonts w:ascii="Georgia" w:hAnsi="Georgia"/>
          <w:b/>
        </w:rPr>
        <w:t>Table 1. Students' cognitive conflict for question no. 1</w:t>
      </w:r>
    </w:p>
    <w:tbl>
      <w:tblPr>
        <w:tblStyle w:val="TableGrid"/>
        <w:tblW w:w="0" w:type="auto"/>
        <w:tblInd w:w="25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504"/>
        <w:gridCol w:w="1959"/>
        <w:gridCol w:w="6369"/>
      </w:tblGrid>
      <w:tr w:rsidR="00594D5B" w:rsidRPr="00594D5B" w14:paraId="144AC75F" w14:textId="77777777" w:rsidTr="00594D5B">
        <w:tc>
          <w:tcPr>
            <w:tcW w:w="461" w:type="dxa"/>
            <w:hideMark/>
          </w:tcPr>
          <w:p w14:paraId="0CAA579C" w14:textId="77777777" w:rsidR="00594D5B" w:rsidRPr="00594D5B" w:rsidRDefault="00594D5B" w:rsidP="00594D5B">
            <w:pPr>
              <w:spacing w:line="360" w:lineRule="auto"/>
              <w:jc w:val="both"/>
              <w:rPr>
                <w:rFonts w:ascii="Georgia" w:hAnsi="Georgia"/>
                <w:sz w:val="22"/>
                <w:szCs w:val="22"/>
              </w:rPr>
            </w:pPr>
            <w:r w:rsidRPr="00594D5B">
              <w:rPr>
                <w:rFonts w:ascii="Georgia" w:hAnsi="Georgia"/>
                <w:sz w:val="22"/>
                <w:szCs w:val="22"/>
              </w:rPr>
              <w:t>No</w:t>
            </w:r>
          </w:p>
        </w:tc>
        <w:tc>
          <w:tcPr>
            <w:tcW w:w="1959" w:type="dxa"/>
            <w:hideMark/>
          </w:tcPr>
          <w:p w14:paraId="7DEFBFEE" w14:textId="77777777" w:rsidR="00594D5B" w:rsidRPr="00594D5B" w:rsidRDefault="00594D5B" w:rsidP="00594D5B">
            <w:pPr>
              <w:spacing w:line="360" w:lineRule="auto"/>
              <w:jc w:val="both"/>
              <w:rPr>
                <w:rFonts w:ascii="Georgia" w:hAnsi="Georgia"/>
                <w:sz w:val="22"/>
                <w:szCs w:val="22"/>
              </w:rPr>
            </w:pPr>
            <w:r w:rsidRPr="00594D5B">
              <w:rPr>
                <w:rFonts w:ascii="Georgia" w:hAnsi="Georgia"/>
                <w:sz w:val="22"/>
                <w:szCs w:val="22"/>
              </w:rPr>
              <w:t>Name</w:t>
            </w:r>
          </w:p>
        </w:tc>
        <w:tc>
          <w:tcPr>
            <w:tcW w:w="6369" w:type="dxa"/>
            <w:hideMark/>
          </w:tcPr>
          <w:p w14:paraId="71A2F981" w14:textId="77777777" w:rsidR="00594D5B" w:rsidRPr="00594D5B" w:rsidRDefault="00594D5B" w:rsidP="00594D5B">
            <w:pPr>
              <w:spacing w:line="360" w:lineRule="auto"/>
              <w:jc w:val="both"/>
              <w:rPr>
                <w:rFonts w:ascii="Georgia" w:hAnsi="Georgia"/>
                <w:sz w:val="22"/>
                <w:szCs w:val="22"/>
              </w:rPr>
            </w:pPr>
            <w:r w:rsidRPr="00594D5B">
              <w:rPr>
                <w:rFonts w:ascii="Georgia" w:hAnsi="Georgia"/>
                <w:sz w:val="22"/>
                <w:szCs w:val="22"/>
              </w:rPr>
              <w:t>The Result</w:t>
            </w:r>
          </w:p>
        </w:tc>
      </w:tr>
      <w:tr w:rsidR="00594D5B" w:rsidRPr="00594D5B" w14:paraId="3FFE247F" w14:textId="77777777" w:rsidTr="00594D5B">
        <w:tc>
          <w:tcPr>
            <w:tcW w:w="461" w:type="dxa"/>
            <w:hideMark/>
          </w:tcPr>
          <w:p w14:paraId="13CF4495" w14:textId="77777777" w:rsidR="00594D5B" w:rsidRPr="00594D5B" w:rsidRDefault="00594D5B" w:rsidP="00594D5B">
            <w:pPr>
              <w:spacing w:line="360" w:lineRule="auto"/>
              <w:jc w:val="both"/>
              <w:rPr>
                <w:rFonts w:ascii="Georgia" w:hAnsi="Georgia"/>
                <w:sz w:val="22"/>
                <w:szCs w:val="22"/>
              </w:rPr>
            </w:pPr>
            <w:r w:rsidRPr="00594D5B">
              <w:rPr>
                <w:rFonts w:ascii="Georgia" w:hAnsi="Georgia"/>
                <w:sz w:val="22"/>
                <w:szCs w:val="22"/>
              </w:rPr>
              <w:t>1</w:t>
            </w:r>
          </w:p>
        </w:tc>
        <w:tc>
          <w:tcPr>
            <w:tcW w:w="1959" w:type="dxa"/>
            <w:hideMark/>
          </w:tcPr>
          <w:p w14:paraId="1186BD08" w14:textId="77777777" w:rsidR="00594D5B" w:rsidRPr="00594D5B" w:rsidRDefault="00594D5B" w:rsidP="00594D5B">
            <w:pPr>
              <w:spacing w:line="360" w:lineRule="auto"/>
              <w:jc w:val="both"/>
              <w:rPr>
                <w:rFonts w:ascii="Georgia" w:hAnsi="Georgia"/>
                <w:sz w:val="22"/>
                <w:szCs w:val="22"/>
              </w:rPr>
            </w:pPr>
            <w:r w:rsidRPr="00594D5B">
              <w:rPr>
                <w:rFonts w:ascii="Georgia" w:hAnsi="Georgia"/>
                <w:sz w:val="22"/>
                <w:szCs w:val="22"/>
              </w:rPr>
              <w:t>Subject 1</w:t>
            </w:r>
          </w:p>
        </w:tc>
        <w:tc>
          <w:tcPr>
            <w:tcW w:w="6369" w:type="dxa"/>
            <w:hideMark/>
          </w:tcPr>
          <w:p w14:paraId="790E9885" w14:textId="77777777" w:rsidR="00594D5B" w:rsidRPr="00594D5B" w:rsidRDefault="00594D5B" w:rsidP="00594D5B">
            <w:pPr>
              <w:spacing w:line="360" w:lineRule="auto"/>
              <w:jc w:val="both"/>
              <w:rPr>
                <w:rFonts w:ascii="Georgia" w:hAnsi="Georgia"/>
                <w:sz w:val="22"/>
                <w:szCs w:val="22"/>
              </w:rPr>
            </w:pPr>
            <w:r w:rsidRPr="00594D5B">
              <w:rPr>
                <w:rFonts w:ascii="Georgia" w:hAnsi="Georgia"/>
                <w:sz w:val="22"/>
                <w:szCs w:val="22"/>
              </w:rPr>
              <w:t>In drawing a circle, the center and radius are correct. However, it cannot correctly determine the center point of the equation of the same circle. The center point depicted is not at the point (0,0)</w:t>
            </w:r>
          </w:p>
        </w:tc>
      </w:tr>
      <w:tr w:rsidR="00594D5B" w:rsidRPr="00594D5B" w14:paraId="787A8D64" w14:textId="77777777" w:rsidTr="00594D5B">
        <w:tc>
          <w:tcPr>
            <w:tcW w:w="461" w:type="dxa"/>
            <w:hideMark/>
          </w:tcPr>
          <w:p w14:paraId="13CAF17C"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2</w:t>
            </w:r>
          </w:p>
        </w:tc>
        <w:tc>
          <w:tcPr>
            <w:tcW w:w="1959" w:type="dxa"/>
            <w:hideMark/>
          </w:tcPr>
          <w:p w14:paraId="6B9ED140"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2</w:t>
            </w:r>
          </w:p>
        </w:tc>
        <w:tc>
          <w:tcPr>
            <w:tcW w:w="6369" w:type="dxa"/>
            <w:hideMark/>
          </w:tcPr>
          <w:p w14:paraId="46CE6EB9"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Draws the circle incorrectly, but cannot correctly determine the radius of the circle in the equation of the same circle. The radius obtained is 3, but in drawing it is used as the center point (3,0)</w:t>
            </w:r>
          </w:p>
        </w:tc>
      </w:tr>
      <w:tr w:rsidR="00594D5B" w:rsidRPr="00594D5B" w14:paraId="1172D0E6" w14:textId="77777777" w:rsidTr="00594D5B">
        <w:tc>
          <w:tcPr>
            <w:tcW w:w="461" w:type="dxa"/>
            <w:hideMark/>
          </w:tcPr>
          <w:p w14:paraId="108F1B89"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3</w:t>
            </w:r>
          </w:p>
        </w:tc>
        <w:tc>
          <w:tcPr>
            <w:tcW w:w="1959" w:type="dxa"/>
            <w:hideMark/>
          </w:tcPr>
          <w:p w14:paraId="5D2000F4"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3</w:t>
            </w:r>
          </w:p>
        </w:tc>
        <w:tc>
          <w:tcPr>
            <w:tcW w:w="6369" w:type="dxa"/>
            <w:hideMark/>
          </w:tcPr>
          <w:p w14:paraId="2FD17499"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The subject makes a right triangle inside the circle and puts the radius as the hypotenuse so that the circle is drawn incorrectly. While in the calculation determine the center point and the correct radius (cognitive conflict)</w:t>
            </w:r>
          </w:p>
        </w:tc>
      </w:tr>
      <w:tr w:rsidR="00594D5B" w:rsidRPr="00594D5B" w14:paraId="34F8051E" w14:textId="77777777" w:rsidTr="00594D5B">
        <w:tc>
          <w:tcPr>
            <w:tcW w:w="461" w:type="dxa"/>
            <w:hideMark/>
          </w:tcPr>
          <w:p w14:paraId="7CC4CDAF"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4</w:t>
            </w:r>
          </w:p>
        </w:tc>
        <w:tc>
          <w:tcPr>
            <w:tcW w:w="1959" w:type="dxa"/>
            <w:hideMark/>
          </w:tcPr>
          <w:p w14:paraId="2513B361"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 xml:space="preserve">Subject 4 </w:t>
            </w:r>
          </w:p>
        </w:tc>
        <w:tc>
          <w:tcPr>
            <w:tcW w:w="6369" w:type="dxa"/>
            <w:hideMark/>
          </w:tcPr>
          <w:p w14:paraId="7FD54D00"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Draw a circle with a radius of three but the calculation is wrong.</w:t>
            </w:r>
          </w:p>
        </w:tc>
      </w:tr>
      <w:tr w:rsidR="00594D5B" w:rsidRPr="00594D5B" w14:paraId="6909124D" w14:textId="77777777" w:rsidTr="00594D5B">
        <w:tc>
          <w:tcPr>
            <w:tcW w:w="461" w:type="dxa"/>
            <w:hideMark/>
          </w:tcPr>
          <w:p w14:paraId="29E91D27"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5</w:t>
            </w:r>
          </w:p>
        </w:tc>
        <w:tc>
          <w:tcPr>
            <w:tcW w:w="1959" w:type="dxa"/>
            <w:hideMark/>
          </w:tcPr>
          <w:p w14:paraId="6F101F0E"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5</w:t>
            </w:r>
          </w:p>
        </w:tc>
        <w:tc>
          <w:tcPr>
            <w:tcW w:w="6369" w:type="dxa"/>
            <w:hideMark/>
          </w:tcPr>
          <w:p w14:paraId="58845DA3"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can correctly determine the radius of a circle, but cannot draw a circle with that radius</w:t>
            </w:r>
          </w:p>
        </w:tc>
      </w:tr>
    </w:tbl>
    <w:p w14:paraId="1C0FF6E1" w14:textId="77777777" w:rsidR="00594D5B" w:rsidRPr="00594D5B" w:rsidRDefault="00594D5B" w:rsidP="00594D5B">
      <w:pPr>
        <w:spacing w:after="0" w:line="360" w:lineRule="auto"/>
        <w:ind w:firstLine="567"/>
        <w:jc w:val="both"/>
        <w:rPr>
          <w:rFonts w:ascii="Georgia" w:hAnsi="Georgia" w:cs="Times New Roman"/>
        </w:rPr>
      </w:pPr>
      <w:r w:rsidRPr="00594D5B">
        <w:rPr>
          <w:rFonts w:ascii="Georgia" w:hAnsi="Georgia" w:cs="Times New Roman"/>
        </w:rPr>
        <w:tab/>
      </w:r>
    </w:p>
    <w:p w14:paraId="2B7EE696" w14:textId="77777777" w:rsidR="00594D5B" w:rsidRPr="00594D5B" w:rsidRDefault="00594D5B" w:rsidP="00594D5B">
      <w:pPr>
        <w:spacing w:line="360" w:lineRule="auto"/>
        <w:ind w:firstLine="720"/>
        <w:rPr>
          <w:rFonts w:ascii="Georgia" w:hAnsi="Georgia" w:cs="Times New Roman"/>
        </w:rPr>
      </w:pPr>
      <w:r w:rsidRPr="00594D5B">
        <w:rPr>
          <w:rFonts w:ascii="Georgia" w:hAnsi="Georgia" w:cs="Times New Roman"/>
        </w:rPr>
        <w:t>In general, in problem no 1, regarding the equation of a circle that has a center at (0,0). The forms of cognitive conflict that arise are:</w:t>
      </w:r>
    </w:p>
    <w:p w14:paraId="3E60E1F5" w14:textId="77777777" w:rsidR="00594D5B" w:rsidRPr="00594D5B" w:rsidRDefault="00594D5B" w:rsidP="00594D5B">
      <w:pPr>
        <w:pStyle w:val="ListParagraph"/>
        <w:numPr>
          <w:ilvl w:val="0"/>
          <w:numId w:val="18"/>
        </w:numPr>
        <w:spacing w:after="0" w:line="360" w:lineRule="auto"/>
        <w:contextualSpacing w:val="0"/>
        <w:jc w:val="both"/>
        <w:rPr>
          <w:rFonts w:ascii="Georgia" w:hAnsi="Georgia" w:cs="Times New Roman"/>
        </w:rPr>
      </w:pPr>
      <w:r w:rsidRPr="00594D5B">
        <w:rPr>
          <w:rFonts w:ascii="Georgia" w:hAnsi="Georgia"/>
        </w:rPr>
        <w:t>Determine the wrong center point but draw a circle with the correct center point.(Subject 1)</w:t>
      </w:r>
    </w:p>
    <w:p w14:paraId="25C94933" w14:textId="77777777" w:rsidR="00594D5B" w:rsidRPr="00594D5B" w:rsidRDefault="00594D5B" w:rsidP="00594D5B">
      <w:pPr>
        <w:pStyle w:val="ListParagraph"/>
        <w:numPr>
          <w:ilvl w:val="0"/>
          <w:numId w:val="18"/>
        </w:numPr>
        <w:spacing w:after="0" w:line="360" w:lineRule="auto"/>
        <w:contextualSpacing w:val="0"/>
        <w:jc w:val="both"/>
        <w:rPr>
          <w:rFonts w:ascii="Georgia" w:hAnsi="Georgia"/>
        </w:rPr>
      </w:pPr>
      <w:r w:rsidRPr="00594D5B">
        <w:rPr>
          <w:rFonts w:ascii="Georgia" w:hAnsi="Georgia"/>
        </w:rPr>
        <w:t>Calculated the radius of the circle correctly but drew a circle with the wrong radius.(Subject 2 and Subject 5)</w:t>
      </w:r>
    </w:p>
    <w:p w14:paraId="3609F129" w14:textId="77777777" w:rsidR="00594D5B" w:rsidRPr="00594D5B" w:rsidRDefault="00594D5B" w:rsidP="00594D5B">
      <w:pPr>
        <w:pStyle w:val="ListParagraph"/>
        <w:numPr>
          <w:ilvl w:val="0"/>
          <w:numId w:val="18"/>
        </w:numPr>
        <w:spacing w:after="0" w:line="360" w:lineRule="auto"/>
        <w:contextualSpacing w:val="0"/>
        <w:jc w:val="both"/>
        <w:rPr>
          <w:rFonts w:ascii="Georgia" w:hAnsi="Georgia"/>
        </w:rPr>
      </w:pPr>
      <w:r w:rsidRPr="00594D5B">
        <w:rPr>
          <w:rFonts w:ascii="Georgia" w:hAnsi="Georgia"/>
        </w:rPr>
        <w:t>Calculating the center and radius of the circle is correct but drawing the circle is wrong.(Subject 3)</w:t>
      </w:r>
    </w:p>
    <w:p w14:paraId="243E6100" w14:textId="5F88CE01" w:rsidR="00594D5B" w:rsidRPr="00594D5B" w:rsidRDefault="00594D5B" w:rsidP="00594D5B">
      <w:pPr>
        <w:pStyle w:val="ListParagraph"/>
        <w:numPr>
          <w:ilvl w:val="0"/>
          <w:numId w:val="18"/>
        </w:numPr>
        <w:spacing w:after="0" w:line="360" w:lineRule="auto"/>
        <w:contextualSpacing w:val="0"/>
        <w:jc w:val="both"/>
        <w:rPr>
          <w:rFonts w:ascii="Georgia" w:hAnsi="Georgia"/>
        </w:rPr>
      </w:pPr>
      <w:r w:rsidRPr="00594D5B">
        <w:rPr>
          <w:rFonts w:ascii="Georgia" w:hAnsi="Georgia"/>
        </w:rPr>
        <w:t>Calculating the radius of the circle is wrong but drawing the circle is correct.(Subject 4)</w:t>
      </w:r>
    </w:p>
    <w:p w14:paraId="5479143F" w14:textId="77777777" w:rsidR="00594D5B" w:rsidRPr="00594D5B" w:rsidRDefault="00594D5B" w:rsidP="00594D5B">
      <w:pPr>
        <w:pStyle w:val="ListParagraph"/>
        <w:spacing w:after="0" w:line="360" w:lineRule="auto"/>
        <w:ind w:left="284"/>
        <w:jc w:val="center"/>
        <w:rPr>
          <w:rFonts w:ascii="Georgia" w:hAnsi="Georgia"/>
          <w:b/>
        </w:rPr>
      </w:pPr>
      <w:r w:rsidRPr="00594D5B">
        <w:rPr>
          <w:rFonts w:ascii="Georgia" w:hAnsi="Georgia"/>
          <w:b/>
        </w:rPr>
        <w:t>Table 2. Students' cognitive conflict for question no. 2</w:t>
      </w:r>
    </w:p>
    <w:tbl>
      <w:tblPr>
        <w:tblStyle w:val="TableGrid"/>
        <w:tblW w:w="0" w:type="auto"/>
        <w:tblInd w:w="25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567"/>
        <w:gridCol w:w="1985"/>
        <w:gridCol w:w="6237"/>
      </w:tblGrid>
      <w:tr w:rsidR="00594D5B" w:rsidRPr="00594D5B" w14:paraId="68AD56E4" w14:textId="77777777" w:rsidTr="00594D5B">
        <w:tc>
          <w:tcPr>
            <w:tcW w:w="567" w:type="dxa"/>
            <w:hideMark/>
          </w:tcPr>
          <w:p w14:paraId="440A9B2A" w14:textId="77777777" w:rsidR="00594D5B" w:rsidRPr="00594D5B" w:rsidRDefault="00594D5B" w:rsidP="00594D5B">
            <w:pPr>
              <w:spacing w:line="360" w:lineRule="auto"/>
              <w:jc w:val="both"/>
              <w:rPr>
                <w:rFonts w:ascii="Georgia" w:hAnsi="Georgia"/>
                <w:sz w:val="22"/>
                <w:szCs w:val="22"/>
              </w:rPr>
            </w:pPr>
            <w:r w:rsidRPr="00594D5B">
              <w:rPr>
                <w:rFonts w:ascii="Georgia" w:hAnsi="Georgia"/>
                <w:sz w:val="22"/>
                <w:szCs w:val="22"/>
              </w:rPr>
              <w:t>No</w:t>
            </w:r>
          </w:p>
        </w:tc>
        <w:tc>
          <w:tcPr>
            <w:tcW w:w="1985" w:type="dxa"/>
            <w:hideMark/>
          </w:tcPr>
          <w:p w14:paraId="65EF71C6" w14:textId="77777777" w:rsidR="00594D5B" w:rsidRPr="00594D5B" w:rsidRDefault="00594D5B" w:rsidP="00594D5B">
            <w:pPr>
              <w:spacing w:line="360" w:lineRule="auto"/>
              <w:jc w:val="both"/>
              <w:rPr>
                <w:rFonts w:ascii="Georgia" w:hAnsi="Georgia"/>
                <w:sz w:val="22"/>
                <w:szCs w:val="22"/>
              </w:rPr>
            </w:pPr>
            <w:r w:rsidRPr="00594D5B">
              <w:rPr>
                <w:rFonts w:ascii="Georgia" w:hAnsi="Georgia"/>
                <w:sz w:val="22"/>
                <w:szCs w:val="22"/>
              </w:rPr>
              <w:t>Name</w:t>
            </w:r>
          </w:p>
        </w:tc>
        <w:tc>
          <w:tcPr>
            <w:tcW w:w="6237" w:type="dxa"/>
            <w:hideMark/>
          </w:tcPr>
          <w:p w14:paraId="2DEC98C4" w14:textId="77777777" w:rsidR="00594D5B" w:rsidRPr="00594D5B" w:rsidRDefault="00594D5B" w:rsidP="00594D5B">
            <w:pPr>
              <w:spacing w:line="360" w:lineRule="auto"/>
              <w:jc w:val="both"/>
              <w:rPr>
                <w:rFonts w:ascii="Georgia" w:hAnsi="Georgia"/>
                <w:sz w:val="22"/>
                <w:szCs w:val="22"/>
              </w:rPr>
            </w:pPr>
            <w:r w:rsidRPr="00594D5B">
              <w:rPr>
                <w:rFonts w:ascii="Georgia" w:hAnsi="Georgia"/>
                <w:sz w:val="22"/>
                <w:szCs w:val="22"/>
              </w:rPr>
              <w:t>The Result</w:t>
            </w:r>
          </w:p>
        </w:tc>
      </w:tr>
      <w:tr w:rsidR="00594D5B" w:rsidRPr="00594D5B" w14:paraId="040369E7" w14:textId="77777777" w:rsidTr="00594D5B">
        <w:tc>
          <w:tcPr>
            <w:tcW w:w="567" w:type="dxa"/>
            <w:hideMark/>
          </w:tcPr>
          <w:p w14:paraId="5CEB51CD"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1</w:t>
            </w:r>
          </w:p>
        </w:tc>
        <w:tc>
          <w:tcPr>
            <w:tcW w:w="1985" w:type="dxa"/>
            <w:hideMark/>
          </w:tcPr>
          <w:p w14:paraId="4AAE11AB"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6</w:t>
            </w:r>
          </w:p>
        </w:tc>
        <w:tc>
          <w:tcPr>
            <w:tcW w:w="6237" w:type="dxa"/>
            <w:hideMark/>
          </w:tcPr>
          <w:p w14:paraId="12E8B20D"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The picture does not contain the equation of a circle that is described, but is able to correctly determine the center and radius of the circle.</w:t>
            </w:r>
          </w:p>
        </w:tc>
      </w:tr>
      <w:tr w:rsidR="00594D5B" w:rsidRPr="00594D5B" w14:paraId="05ADDCE7" w14:textId="77777777" w:rsidTr="00594D5B">
        <w:tc>
          <w:tcPr>
            <w:tcW w:w="567" w:type="dxa"/>
            <w:hideMark/>
          </w:tcPr>
          <w:p w14:paraId="120279D8"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2</w:t>
            </w:r>
          </w:p>
        </w:tc>
        <w:tc>
          <w:tcPr>
            <w:tcW w:w="1985" w:type="dxa"/>
            <w:hideMark/>
          </w:tcPr>
          <w:p w14:paraId="04090C6B"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7</w:t>
            </w:r>
          </w:p>
        </w:tc>
        <w:tc>
          <w:tcPr>
            <w:tcW w:w="6237" w:type="dxa"/>
            <w:hideMark/>
          </w:tcPr>
          <w:p w14:paraId="6A2E1A25"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The picture of circle is wrong, but can correctly determine the radius of the equation of a circle</w:t>
            </w:r>
          </w:p>
        </w:tc>
      </w:tr>
      <w:tr w:rsidR="00594D5B" w:rsidRPr="00594D5B" w14:paraId="72FE213A" w14:textId="77777777" w:rsidTr="00594D5B">
        <w:tc>
          <w:tcPr>
            <w:tcW w:w="567" w:type="dxa"/>
            <w:hideMark/>
          </w:tcPr>
          <w:p w14:paraId="7A004D20"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3</w:t>
            </w:r>
          </w:p>
        </w:tc>
        <w:tc>
          <w:tcPr>
            <w:tcW w:w="1985" w:type="dxa"/>
            <w:hideMark/>
          </w:tcPr>
          <w:p w14:paraId="789BC234"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8</w:t>
            </w:r>
          </w:p>
        </w:tc>
        <w:tc>
          <w:tcPr>
            <w:tcW w:w="6237" w:type="dxa"/>
            <w:hideMark/>
          </w:tcPr>
          <w:p w14:paraId="0A762F38"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The picture is wrong, but can correctly determine the radius of the equation of a circle</w:t>
            </w:r>
          </w:p>
        </w:tc>
      </w:tr>
      <w:tr w:rsidR="00594D5B" w:rsidRPr="00594D5B" w14:paraId="4470E6B1" w14:textId="77777777" w:rsidTr="00594D5B">
        <w:tc>
          <w:tcPr>
            <w:tcW w:w="567" w:type="dxa"/>
            <w:hideMark/>
          </w:tcPr>
          <w:p w14:paraId="1A4D9C84"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4</w:t>
            </w:r>
          </w:p>
        </w:tc>
        <w:tc>
          <w:tcPr>
            <w:tcW w:w="1985" w:type="dxa"/>
            <w:hideMark/>
          </w:tcPr>
          <w:p w14:paraId="2E7A43E7"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9</w:t>
            </w:r>
          </w:p>
        </w:tc>
        <w:tc>
          <w:tcPr>
            <w:tcW w:w="6237" w:type="dxa"/>
            <w:hideMark/>
          </w:tcPr>
          <w:p w14:paraId="238BC77E"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The image created does not match the center point obtained</w:t>
            </w:r>
          </w:p>
        </w:tc>
      </w:tr>
      <w:tr w:rsidR="00594D5B" w:rsidRPr="00594D5B" w14:paraId="4CBD7CAE" w14:textId="77777777" w:rsidTr="00594D5B">
        <w:tc>
          <w:tcPr>
            <w:tcW w:w="567" w:type="dxa"/>
            <w:hideMark/>
          </w:tcPr>
          <w:p w14:paraId="3A4EFDCD"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5</w:t>
            </w:r>
          </w:p>
        </w:tc>
        <w:tc>
          <w:tcPr>
            <w:tcW w:w="1985" w:type="dxa"/>
            <w:hideMark/>
          </w:tcPr>
          <w:p w14:paraId="036B71BA"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10</w:t>
            </w:r>
          </w:p>
        </w:tc>
        <w:tc>
          <w:tcPr>
            <w:tcW w:w="6237" w:type="dxa"/>
            <w:hideMark/>
          </w:tcPr>
          <w:p w14:paraId="4BF68E4A"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The picture is wrong, because in determining the center point you don't pay attention to the sign, it's difficult to draw the radius of the circle that has been obtained</w:t>
            </w:r>
          </w:p>
        </w:tc>
      </w:tr>
      <w:tr w:rsidR="00594D5B" w:rsidRPr="00594D5B" w14:paraId="1BB2FF71" w14:textId="77777777" w:rsidTr="00594D5B">
        <w:tc>
          <w:tcPr>
            <w:tcW w:w="567" w:type="dxa"/>
            <w:hideMark/>
          </w:tcPr>
          <w:p w14:paraId="1C650A36"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6</w:t>
            </w:r>
          </w:p>
        </w:tc>
        <w:tc>
          <w:tcPr>
            <w:tcW w:w="1985" w:type="dxa"/>
            <w:hideMark/>
          </w:tcPr>
          <w:p w14:paraId="6B457BC7"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4</w:t>
            </w:r>
          </w:p>
        </w:tc>
        <w:tc>
          <w:tcPr>
            <w:tcW w:w="6237" w:type="dxa"/>
            <w:hideMark/>
          </w:tcPr>
          <w:p w14:paraId="63AA6A0A"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Image does not exist, but the radius calculation is correct</w:t>
            </w:r>
          </w:p>
        </w:tc>
      </w:tr>
      <w:tr w:rsidR="00594D5B" w:rsidRPr="00594D5B" w14:paraId="24DAFC9B" w14:textId="77777777" w:rsidTr="00594D5B">
        <w:tc>
          <w:tcPr>
            <w:tcW w:w="567" w:type="dxa"/>
            <w:hideMark/>
          </w:tcPr>
          <w:p w14:paraId="3CFE448E"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7</w:t>
            </w:r>
          </w:p>
        </w:tc>
        <w:tc>
          <w:tcPr>
            <w:tcW w:w="1985" w:type="dxa"/>
            <w:hideMark/>
          </w:tcPr>
          <w:p w14:paraId="0198BF66"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11</w:t>
            </w:r>
          </w:p>
        </w:tc>
        <w:tc>
          <w:tcPr>
            <w:tcW w:w="6237" w:type="dxa"/>
            <w:hideMark/>
          </w:tcPr>
          <w:p w14:paraId="5BF36E4A"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Calculate the center point of circle is correct but can't draw circle</w:t>
            </w:r>
          </w:p>
        </w:tc>
      </w:tr>
    </w:tbl>
    <w:p w14:paraId="00197E95" w14:textId="77777777" w:rsidR="00594D5B" w:rsidRPr="00594D5B" w:rsidRDefault="00594D5B" w:rsidP="00594D5B">
      <w:pPr>
        <w:spacing w:after="0" w:line="360" w:lineRule="auto"/>
        <w:jc w:val="both"/>
        <w:rPr>
          <w:rFonts w:ascii="Georgia" w:hAnsi="Georgia" w:cs="Times New Roman"/>
        </w:rPr>
      </w:pPr>
      <w:r w:rsidRPr="00594D5B">
        <w:rPr>
          <w:rFonts w:ascii="Georgia" w:hAnsi="Georgia" w:cs="Times New Roman"/>
        </w:rPr>
        <w:tab/>
      </w:r>
    </w:p>
    <w:p w14:paraId="6D19DD69" w14:textId="77777777" w:rsidR="00594D5B" w:rsidRPr="00594D5B" w:rsidRDefault="00594D5B" w:rsidP="00594D5B">
      <w:pPr>
        <w:spacing w:after="0" w:line="360" w:lineRule="auto"/>
        <w:ind w:firstLine="720"/>
        <w:jc w:val="both"/>
        <w:rPr>
          <w:rFonts w:ascii="Georgia" w:hAnsi="Georgia" w:cs="Times New Roman"/>
        </w:rPr>
      </w:pPr>
      <w:r w:rsidRPr="00594D5B">
        <w:rPr>
          <w:rFonts w:ascii="Georgia" w:hAnsi="Georgia" w:cs="Times New Roman"/>
        </w:rPr>
        <w:t>In problem no 2, regarding the equation of a circle that has a center at (a, b). The forms of cognitive conflict obtained are:</w:t>
      </w:r>
    </w:p>
    <w:p w14:paraId="145009B2" w14:textId="77777777" w:rsidR="00594D5B" w:rsidRPr="00594D5B" w:rsidRDefault="00594D5B" w:rsidP="00594D5B">
      <w:pPr>
        <w:pStyle w:val="ListParagraph"/>
        <w:numPr>
          <w:ilvl w:val="0"/>
          <w:numId w:val="19"/>
        </w:numPr>
        <w:spacing w:after="0" w:line="360" w:lineRule="auto"/>
        <w:contextualSpacing w:val="0"/>
        <w:jc w:val="both"/>
        <w:rPr>
          <w:rFonts w:ascii="Georgia" w:hAnsi="Georgia" w:cs="Times New Roman"/>
        </w:rPr>
      </w:pPr>
      <w:r w:rsidRPr="00594D5B">
        <w:rPr>
          <w:rFonts w:ascii="Georgia" w:hAnsi="Georgia"/>
        </w:rPr>
        <w:t>Determined the center and radius correctly but did not draw a circle at all. (Subject 6)</w:t>
      </w:r>
    </w:p>
    <w:p w14:paraId="5D90BF37" w14:textId="77777777" w:rsidR="00594D5B" w:rsidRPr="00594D5B" w:rsidRDefault="00594D5B" w:rsidP="00594D5B">
      <w:pPr>
        <w:pStyle w:val="ListParagraph"/>
        <w:numPr>
          <w:ilvl w:val="0"/>
          <w:numId w:val="19"/>
        </w:numPr>
        <w:spacing w:after="0" w:line="360" w:lineRule="auto"/>
        <w:contextualSpacing w:val="0"/>
        <w:jc w:val="both"/>
        <w:rPr>
          <w:rFonts w:ascii="Georgia" w:hAnsi="Georgia"/>
        </w:rPr>
      </w:pPr>
      <w:r w:rsidRPr="00594D5B">
        <w:rPr>
          <w:rFonts w:ascii="Georgia" w:hAnsi="Georgia"/>
        </w:rPr>
        <w:t>Calculated the radius correctly but drew a circle with the wrong radius. (Subjects 7,8 and 10)</w:t>
      </w:r>
    </w:p>
    <w:p w14:paraId="15047ABF" w14:textId="77777777" w:rsidR="00594D5B" w:rsidRPr="00594D5B" w:rsidRDefault="00594D5B" w:rsidP="00594D5B">
      <w:pPr>
        <w:pStyle w:val="ListParagraph"/>
        <w:numPr>
          <w:ilvl w:val="0"/>
          <w:numId w:val="19"/>
        </w:numPr>
        <w:spacing w:after="0" w:line="360" w:lineRule="auto"/>
        <w:contextualSpacing w:val="0"/>
        <w:jc w:val="both"/>
        <w:rPr>
          <w:rFonts w:ascii="Georgia" w:hAnsi="Georgia"/>
        </w:rPr>
      </w:pPr>
      <w:r w:rsidRPr="00594D5B">
        <w:rPr>
          <w:rFonts w:ascii="Georgia" w:hAnsi="Georgia"/>
        </w:rPr>
        <w:t>Determine the center point of the circle correctly but draw a circle with the wrong center point. (Subject 9)</w:t>
      </w:r>
    </w:p>
    <w:p w14:paraId="67E5BC17" w14:textId="77777777" w:rsidR="00594D5B" w:rsidRPr="00594D5B" w:rsidRDefault="00594D5B" w:rsidP="00594D5B">
      <w:pPr>
        <w:pStyle w:val="ListParagraph"/>
        <w:numPr>
          <w:ilvl w:val="0"/>
          <w:numId w:val="19"/>
        </w:numPr>
        <w:spacing w:after="0" w:line="360" w:lineRule="auto"/>
        <w:contextualSpacing w:val="0"/>
        <w:jc w:val="both"/>
        <w:rPr>
          <w:rFonts w:ascii="Georgia" w:hAnsi="Georgia"/>
        </w:rPr>
      </w:pPr>
      <w:r w:rsidRPr="00594D5B">
        <w:rPr>
          <w:rFonts w:ascii="Georgia" w:hAnsi="Georgia"/>
        </w:rPr>
        <w:t>Calculating the radius is correct but there is no circle image (Subject 4)</w:t>
      </w:r>
    </w:p>
    <w:p w14:paraId="081C0B01" w14:textId="3F20435C" w:rsidR="00594D5B" w:rsidRPr="00594D5B" w:rsidRDefault="00594D5B" w:rsidP="00594D5B">
      <w:pPr>
        <w:pStyle w:val="ListParagraph"/>
        <w:numPr>
          <w:ilvl w:val="0"/>
          <w:numId w:val="19"/>
        </w:numPr>
        <w:spacing w:after="0" w:line="360" w:lineRule="auto"/>
        <w:contextualSpacing w:val="0"/>
        <w:jc w:val="both"/>
        <w:rPr>
          <w:rFonts w:ascii="Georgia" w:hAnsi="Georgia"/>
        </w:rPr>
      </w:pPr>
      <w:r w:rsidRPr="00594D5B">
        <w:rPr>
          <w:rFonts w:ascii="Georgia" w:hAnsi="Georgia"/>
        </w:rPr>
        <w:t>Calculating the center point is correct but the circle image is missing (Subject 11)</w:t>
      </w:r>
    </w:p>
    <w:p w14:paraId="03063ADA" w14:textId="77777777" w:rsidR="00594D5B" w:rsidRPr="00594D5B" w:rsidRDefault="00594D5B" w:rsidP="00594D5B">
      <w:pPr>
        <w:pStyle w:val="ListParagraph"/>
        <w:spacing w:after="0" w:line="360" w:lineRule="auto"/>
        <w:ind w:left="284"/>
        <w:jc w:val="center"/>
        <w:rPr>
          <w:rFonts w:ascii="Georgia" w:hAnsi="Georgia" w:cs="Times New Roman"/>
          <w:b/>
        </w:rPr>
      </w:pPr>
      <w:r w:rsidRPr="00594D5B">
        <w:rPr>
          <w:rFonts w:ascii="Georgia" w:hAnsi="Georgia"/>
          <w:b/>
        </w:rPr>
        <w:t>Table 3. Students' cognitive conflict for question no. 3</w:t>
      </w:r>
    </w:p>
    <w:tbl>
      <w:tblPr>
        <w:tblStyle w:val="TableGrid"/>
        <w:tblW w:w="0" w:type="auto"/>
        <w:jc w:val="center"/>
        <w:tblInd w:w="25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567"/>
        <w:gridCol w:w="2126"/>
        <w:gridCol w:w="5954"/>
      </w:tblGrid>
      <w:tr w:rsidR="00594D5B" w:rsidRPr="00594D5B" w14:paraId="00359C71" w14:textId="77777777" w:rsidTr="00594D5B">
        <w:trPr>
          <w:jc w:val="center"/>
        </w:trPr>
        <w:tc>
          <w:tcPr>
            <w:tcW w:w="567" w:type="dxa"/>
            <w:hideMark/>
          </w:tcPr>
          <w:p w14:paraId="210C7E63" w14:textId="77777777" w:rsidR="00594D5B" w:rsidRPr="00594D5B" w:rsidRDefault="00594D5B" w:rsidP="00594D5B">
            <w:pPr>
              <w:spacing w:line="360" w:lineRule="auto"/>
              <w:jc w:val="both"/>
              <w:rPr>
                <w:rFonts w:ascii="Georgia" w:hAnsi="Georgia"/>
                <w:sz w:val="22"/>
                <w:szCs w:val="22"/>
              </w:rPr>
            </w:pPr>
            <w:r w:rsidRPr="00594D5B">
              <w:rPr>
                <w:rFonts w:ascii="Georgia" w:hAnsi="Georgia"/>
                <w:sz w:val="22"/>
                <w:szCs w:val="22"/>
              </w:rPr>
              <w:t>No</w:t>
            </w:r>
          </w:p>
        </w:tc>
        <w:tc>
          <w:tcPr>
            <w:tcW w:w="2126" w:type="dxa"/>
            <w:hideMark/>
          </w:tcPr>
          <w:p w14:paraId="7759507D" w14:textId="77777777" w:rsidR="00594D5B" w:rsidRPr="00594D5B" w:rsidRDefault="00594D5B" w:rsidP="00594D5B">
            <w:pPr>
              <w:spacing w:line="360" w:lineRule="auto"/>
              <w:jc w:val="both"/>
              <w:rPr>
                <w:rFonts w:ascii="Georgia" w:hAnsi="Georgia"/>
                <w:sz w:val="22"/>
                <w:szCs w:val="22"/>
              </w:rPr>
            </w:pPr>
            <w:r w:rsidRPr="00594D5B">
              <w:rPr>
                <w:rFonts w:ascii="Georgia" w:hAnsi="Georgia"/>
                <w:sz w:val="22"/>
                <w:szCs w:val="22"/>
              </w:rPr>
              <w:t>Name</w:t>
            </w:r>
          </w:p>
        </w:tc>
        <w:tc>
          <w:tcPr>
            <w:tcW w:w="5954" w:type="dxa"/>
            <w:hideMark/>
          </w:tcPr>
          <w:p w14:paraId="3871C8EA" w14:textId="77777777" w:rsidR="00594D5B" w:rsidRPr="00594D5B" w:rsidRDefault="00594D5B" w:rsidP="00594D5B">
            <w:pPr>
              <w:spacing w:line="360" w:lineRule="auto"/>
              <w:jc w:val="both"/>
              <w:rPr>
                <w:rFonts w:ascii="Georgia" w:hAnsi="Georgia"/>
                <w:sz w:val="22"/>
                <w:szCs w:val="22"/>
              </w:rPr>
            </w:pPr>
            <w:r w:rsidRPr="00594D5B">
              <w:rPr>
                <w:rFonts w:ascii="Georgia" w:hAnsi="Georgia"/>
                <w:sz w:val="22"/>
                <w:szCs w:val="22"/>
              </w:rPr>
              <w:t>The Result</w:t>
            </w:r>
          </w:p>
        </w:tc>
      </w:tr>
      <w:tr w:rsidR="00594D5B" w:rsidRPr="00594D5B" w14:paraId="4C5A1742" w14:textId="77777777" w:rsidTr="00594D5B">
        <w:trPr>
          <w:jc w:val="center"/>
        </w:trPr>
        <w:tc>
          <w:tcPr>
            <w:tcW w:w="567" w:type="dxa"/>
            <w:hideMark/>
          </w:tcPr>
          <w:p w14:paraId="23BF4FF4"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1</w:t>
            </w:r>
          </w:p>
        </w:tc>
        <w:tc>
          <w:tcPr>
            <w:tcW w:w="2126" w:type="dxa"/>
            <w:hideMark/>
          </w:tcPr>
          <w:p w14:paraId="7D6B0041"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12</w:t>
            </w:r>
          </w:p>
        </w:tc>
        <w:tc>
          <w:tcPr>
            <w:tcW w:w="5954" w:type="dxa"/>
            <w:hideMark/>
          </w:tcPr>
          <w:p w14:paraId="0CF5CA2F"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Able to draw a circle with the radius obtained is correct, but not with the center point obtained</w:t>
            </w:r>
          </w:p>
        </w:tc>
      </w:tr>
      <w:tr w:rsidR="00594D5B" w:rsidRPr="00594D5B" w14:paraId="13394B0F" w14:textId="77777777" w:rsidTr="00594D5B">
        <w:trPr>
          <w:jc w:val="center"/>
        </w:trPr>
        <w:tc>
          <w:tcPr>
            <w:tcW w:w="567" w:type="dxa"/>
            <w:hideMark/>
          </w:tcPr>
          <w:p w14:paraId="373B22EF"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2</w:t>
            </w:r>
          </w:p>
        </w:tc>
        <w:tc>
          <w:tcPr>
            <w:tcW w:w="2126" w:type="dxa"/>
            <w:hideMark/>
          </w:tcPr>
          <w:p w14:paraId="72B7EA23"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13</w:t>
            </w:r>
          </w:p>
        </w:tc>
        <w:tc>
          <w:tcPr>
            <w:tcW w:w="5954" w:type="dxa"/>
            <w:hideMark/>
          </w:tcPr>
          <w:p w14:paraId="149E2D37"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The circle drawn does not correspond to the center point obtained</w:t>
            </w:r>
          </w:p>
        </w:tc>
      </w:tr>
      <w:tr w:rsidR="00594D5B" w:rsidRPr="00594D5B" w14:paraId="1535E62D" w14:textId="77777777" w:rsidTr="00594D5B">
        <w:trPr>
          <w:jc w:val="center"/>
        </w:trPr>
        <w:tc>
          <w:tcPr>
            <w:tcW w:w="567" w:type="dxa"/>
            <w:hideMark/>
          </w:tcPr>
          <w:p w14:paraId="18013B25"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3</w:t>
            </w:r>
          </w:p>
        </w:tc>
        <w:tc>
          <w:tcPr>
            <w:tcW w:w="2126" w:type="dxa"/>
            <w:hideMark/>
          </w:tcPr>
          <w:p w14:paraId="0246B2DE"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10</w:t>
            </w:r>
          </w:p>
        </w:tc>
        <w:tc>
          <w:tcPr>
            <w:tcW w:w="5954" w:type="dxa"/>
            <w:hideMark/>
          </w:tcPr>
          <w:p w14:paraId="6D489981"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Wrong circle drawing, Can determine the value of r correctly, but wrong in determining the center point because it does not pay attention to the sign.</w:t>
            </w:r>
          </w:p>
        </w:tc>
      </w:tr>
      <w:tr w:rsidR="00594D5B" w:rsidRPr="00594D5B" w14:paraId="20FDACA4" w14:textId="77777777" w:rsidTr="00594D5B">
        <w:trPr>
          <w:jc w:val="center"/>
        </w:trPr>
        <w:tc>
          <w:tcPr>
            <w:tcW w:w="567" w:type="dxa"/>
            <w:hideMark/>
          </w:tcPr>
          <w:p w14:paraId="4FCBFD93"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4</w:t>
            </w:r>
          </w:p>
        </w:tc>
        <w:tc>
          <w:tcPr>
            <w:tcW w:w="2126" w:type="dxa"/>
            <w:hideMark/>
          </w:tcPr>
          <w:p w14:paraId="5FCBD734"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Subject 11</w:t>
            </w:r>
          </w:p>
        </w:tc>
        <w:tc>
          <w:tcPr>
            <w:tcW w:w="5954" w:type="dxa"/>
            <w:hideMark/>
          </w:tcPr>
          <w:p w14:paraId="2A0BC7D3" w14:textId="77777777" w:rsidR="00594D5B" w:rsidRPr="00594D5B" w:rsidRDefault="00594D5B">
            <w:pPr>
              <w:spacing w:line="360" w:lineRule="auto"/>
              <w:jc w:val="both"/>
              <w:rPr>
                <w:rFonts w:ascii="Georgia" w:hAnsi="Georgia"/>
                <w:sz w:val="22"/>
                <w:szCs w:val="22"/>
              </w:rPr>
            </w:pPr>
            <w:r w:rsidRPr="00594D5B">
              <w:rPr>
                <w:rFonts w:ascii="Georgia" w:hAnsi="Georgia"/>
                <w:sz w:val="22"/>
                <w:szCs w:val="22"/>
              </w:rPr>
              <w:t>Calculate the center point is correct but can't draw circle</w:t>
            </w:r>
          </w:p>
        </w:tc>
      </w:tr>
    </w:tbl>
    <w:p w14:paraId="3ED4D1E4" w14:textId="77777777" w:rsidR="00594D5B" w:rsidRPr="00594D5B" w:rsidRDefault="00594D5B" w:rsidP="00594D5B">
      <w:pPr>
        <w:spacing w:after="0" w:line="360" w:lineRule="auto"/>
        <w:ind w:firstLine="720"/>
        <w:jc w:val="both"/>
        <w:rPr>
          <w:rFonts w:ascii="Georgia" w:hAnsi="Georgia" w:cs="Times New Roman"/>
        </w:rPr>
      </w:pPr>
    </w:p>
    <w:p w14:paraId="0584E828" w14:textId="77777777" w:rsidR="00594D5B" w:rsidRPr="00594D5B" w:rsidRDefault="00594D5B" w:rsidP="00594D5B">
      <w:pPr>
        <w:spacing w:after="0" w:line="360" w:lineRule="auto"/>
        <w:ind w:firstLine="720"/>
        <w:jc w:val="both"/>
        <w:rPr>
          <w:rFonts w:ascii="Georgia" w:hAnsi="Georgia" w:cs="Times New Roman"/>
        </w:rPr>
      </w:pPr>
      <w:r w:rsidRPr="00594D5B">
        <w:rPr>
          <w:rFonts w:ascii="Georgia" w:hAnsi="Georgia" w:cs="Times New Roman"/>
        </w:rPr>
        <w:t xml:space="preserve">In question no 2, regarding the equation of a circle in general form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+ax+by+c=0</m:t>
        </m:r>
      </m:oMath>
      <w:r w:rsidRPr="00594D5B">
        <w:rPr>
          <w:rFonts w:ascii="Georgia" w:hAnsi="Georgia" w:cs="Times New Roman"/>
        </w:rPr>
        <w:t>. The forms of cognitive conflict obtained are:</w:t>
      </w:r>
    </w:p>
    <w:p w14:paraId="56CAEF37" w14:textId="77777777" w:rsidR="00594D5B" w:rsidRPr="00594D5B" w:rsidRDefault="00594D5B" w:rsidP="00594D5B">
      <w:pPr>
        <w:pStyle w:val="ListParagraph"/>
        <w:numPr>
          <w:ilvl w:val="0"/>
          <w:numId w:val="20"/>
        </w:numPr>
        <w:spacing w:after="0" w:line="360" w:lineRule="auto"/>
        <w:contextualSpacing w:val="0"/>
        <w:jc w:val="both"/>
        <w:rPr>
          <w:rFonts w:ascii="Georgia" w:hAnsi="Georgia" w:cs="Times New Roman"/>
        </w:rPr>
      </w:pPr>
      <w:r w:rsidRPr="00594D5B">
        <w:rPr>
          <w:rFonts w:ascii="Georgia" w:hAnsi="Georgia"/>
        </w:rPr>
        <w:t>Determined the center point correctly but drew a circle with the wrong center point. (Subject 12 and Subject 13)</w:t>
      </w:r>
    </w:p>
    <w:p w14:paraId="42480306" w14:textId="77777777" w:rsidR="00594D5B" w:rsidRPr="00594D5B" w:rsidRDefault="00594D5B" w:rsidP="00594D5B">
      <w:pPr>
        <w:pStyle w:val="ListParagraph"/>
        <w:numPr>
          <w:ilvl w:val="0"/>
          <w:numId w:val="20"/>
        </w:numPr>
        <w:spacing w:after="0" w:line="360" w:lineRule="auto"/>
        <w:contextualSpacing w:val="0"/>
        <w:jc w:val="both"/>
        <w:rPr>
          <w:rFonts w:ascii="Georgia" w:hAnsi="Georgia"/>
        </w:rPr>
      </w:pPr>
      <w:r w:rsidRPr="00594D5B">
        <w:rPr>
          <w:rFonts w:ascii="Georgia" w:hAnsi="Georgia"/>
        </w:rPr>
        <w:t>Calculates the radius correctly but draws a circle with the wrong radius. (Subject 10)</w:t>
      </w:r>
    </w:p>
    <w:p w14:paraId="5FA8C230" w14:textId="77777777" w:rsidR="00594D5B" w:rsidRPr="00594D5B" w:rsidRDefault="00594D5B" w:rsidP="00594D5B">
      <w:pPr>
        <w:pStyle w:val="ListParagraph"/>
        <w:numPr>
          <w:ilvl w:val="0"/>
          <w:numId w:val="20"/>
        </w:numPr>
        <w:spacing w:after="0" w:line="360" w:lineRule="auto"/>
        <w:contextualSpacing w:val="0"/>
        <w:jc w:val="both"/>
        <w:rPr>
          <w:rFonts w:ascii="Georgia" w:hAnsi="Georgia"/>
        </w:rPr>
      </w:pPr>
      <w:r w:rsidRPr="00594D5B">
        <w:rPr>
          <w:rFonts w:ascii="Georgia" w:hAnsi="Georgia"/>
        </w:rPr>
        <w:t>Defines the center point correctly but does not draw a circle. (Subject 11)</w:t>
      </w:r>
    </w:p>
    <w:p w14:paraId="682E9070" w14:textId="77777777" w:rsidR="00594D5B" w:rsidRPr="00594D5B" w:rsidRDefault="00594D5B" w:rsidP="00594D5B">
      <w:pPr>
        <w:spacing w:after="0" w:line="360" w:lineRule="auto"/>
        <w:ind w:firstLine="720"/>
        <w:jc w:val="both"/>
        <w:rPr>
          <w:rFonts w:ascii="Georgia" w:hAnsi="Georgia" w:cs="Times New Roman"/>
        </w:rPr>
      </w:pPr>
      <w:r w:rsidRPr="00594D5B">
        <w:rPr>
          <w:rFonts w:ascii="Georgia" w:hAnsi="Georgia" w:cs="Times New Roman"/>
        </w:rPr>
        <w:t>Based on the data obtained, there are 13 of 31 students who experience cognitive conflict. Where three of them experienced conflict on two questions. Furthermore, the three research subjects were interviewed to find the factors that caused the conflict. In this case, it was found that cognitive conflicts occurred because of differences and mixed schemes owned by students in understanding geometric concepts such as the answers of the subjects below:</w:t>
      </w:r>
    </w:p>
    <w:p w14:paraId="5D681332" w14:textId="21A0E704" w:rsidR="00594D5B" w:rsidRPr="00594D5B" w:rsidRDefault="00594D5B" w:rsidP="00594D5B">
      <w:pPr>
        <w:spacing w:after="0" w:line="360" w:lineRule="auto"/>
        <w:ind w:firstLine="567"/>
        <w:jc w:val="center"/>
        <w:rPr>
          <w:rFonts w:ascii="Georgia" w:hAnsi="Georgia" w:cs="Times New Roman"/>
          <w:b/>
        </w:rPr>
      </w:pPr>
      <w:r w:rsidRPr="00594D5B">
        <w:rPr>
          <w:rFonts w:ascii="Georgia" w:hAnsi="Georgia" w:cs="Times New Roman"/>
          <w:b/>
          <w:noProof/>
          <w:lang w:val="en-US" w:eastAsia="en-US"/>
        </w:rPr>
        <w:drawing>
          <wp:inline distT="0" distB="0" distL="0" distR="0" wp14:anchorId="38ECB54D" wp14:editId="6317C301">
            <wp:extent cx="3295015" cy="1578610"/>
            <wp:effectExtent l="0" t="0" r="635" b="2540"/>
            <wp:docPr id="6" name="Picture 6" descr="Description: C:\Users\user\Desktop\Konflik kognitif\jawaban subjek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Desktop\Konflik kognitif\jawaban subjek 3.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95015" cy="1578610"/>
                    </a:xfrm>
                    <a:prstGeom prst="rect">
                      <a:avLst/>
                    </a:prstGeom>
                    <a:noFill/>
                    <a:ln>
                      <a:noFill/>
                    </a:ln>
                  </pic:spPr>
                </pic:pic>
              </a:graphicData>
            </a:graphic>
          </wp:inline>
        </w:drawing>
      </w:r>
    </w:p>
    <w:p w14:paraId="7CB53E53" w14:textId="77777777" w:rsidR="00594D5B" w:rsidRPr="00594D5B" w:rsidRDefault="00594D5B" w:rsidP="00594D5B">
      <w:pPr>
        <w:spacing w:after="0" w:line="360" w:lineRule="auto"/>
        <w:ind w:firstLine="567"/>
        <w:jc w:val="center"/>
        <w:rPr>
          <w:rFonts w:ascii="Georgia" w:hAnsi="Georgia" w:cs="Times New Roman"/>
          <w:b/>
        </w:rPr>
      </w:pPr>
      <w:r w:rsidRPr="00594D5B">
        <w:rPr>
          <w:rFonts w:ascii="Georgia" w:hAnsi="Georgia" w:cs="Times New Roman"/>
          <w:b/>
        </w:rPr>
        <w:t>Figure 1. Answer of Subject 3</w:t>
      </w:r>
    </w:p>
    <w:p w14:paraId="5024FC33" w14:textId="77777777" w:rsidR="00594D5B" w:rsidRPr="00594D5B" w:rsidRDefault="00594D5B" w:rsidP="00594D5B">
      <w:pPr>
        <w:spacing w:after="0" w:line="360" w:lineRule="auto"/>
        <w:ind w:firstLine="567"/>
        <w:rPr>
          <w:rFonts w:ascii="Georgia" w:hAnsi="Georgia" w:cs="Times New Roman"/>
          <w:noProof/>
        </w:rPr>
      </w:pPr>
      <w:r w:rsidRPr="00594D5B">
        <w:rPr>
          <w:rFonts w:ascii="Georgia" w:hAnsi="Georgia" w:cs="Times New Roman"/>
          <w:noProof/>
        </w:rPr>
        <w:t>Based on Figure 1 above, it can be seen that the subject was able to correctly determine the center point and the radius of the circle, but when asked to describe the circle the subject answered incorrectly. This can be seen in the image below:</w:t>
      </w:r>
    </w:p>
    <w:p w14:paraId="35EC08B8" w14:textId="7DBE90CA" w:rsidR="00594D5B" w:rsidRPr="00594D5B" w:rsidRDefault="00594D5B" w:rsidP="00594D5B">
      <w:pPr>
        <w:spacing w:after="0" w:line="360" w:lineRule="auto"/>
        <w:ind w:firstLine="567"/>
        <w:jc w:val="center"/>
        <w:rPr>
          <w:rFonts w:ascii="Georgia" w:hAnsi="Georgia" w:cs="Times New Roman"/>
        </w:rPr>
      </w:pPr>
      <w:r w:rsidRPr="00594D5B">
        <w:rPr>
          <w:rFonts w:ascii="Georgia" w:hAnsi="Georgia" w:cs="Times New Roman"/>
          <w:noProof/>
          <w:lang w:val="en-US" w:eastAsia="en-US"/>
        </w:rPr>
        <w:drawing>
          <wp:inline distT="0" distB="0" distL="0" distR="0" wp14:anchorId="6BF42C3A" wp14:editId="25C1253E">
            <wp:extent cx="2493010" cy="1569720"/>
            <wp:effectExtent l="0" t="0" r="2540" b="0"/>
            <wp:docPr id="5" name="Picture 5" descr="Description: C:\Users\user\Downloads\WhatsApp Image 2022-05-23 at 09.24.5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ownloads\WhatsApp Image 2022-05-23 at 09.24.57 (2).jpeg"/>
                    <pic:cNvPicPr>
                      <a:picLocks noChangeAspect="1" noChangeArrowheads="1"/>
                    </pic:cNvPicPr>
                  </pic:nvPicPr>
                  <pic:blipFill>
                    <a:blip r:embed="rId17">
                      <a:extLst>
                        <a:ext uri="{28A0092B-C50C-407E-A947-70E740481C1C}">
                          <a14:useLocalDpi xmlns:a14="http://schemas.microsoft.com/office/drawing/2010/main" val="0"/>
                        </a:ext>
                      </a:extLst>
                    </a:blip>
                    <a:srcRect t="29457" r="-72"/>
                    <a:stretch>
                      <a:fillRect/>
                    </a:stretch>
                  </pic:blipFill>
                  <pic:spPr bwMode="auto">
                    <a:xfrm>
                      <a:off x="0" y="0"/>
                      <a:ext cx="2493010" cy="1569720"/>
                    </a:xfrm>
                    <a:prstGeom prst="rect">
                      <a:avLst/>
                    </a:prstGeom>
                    <a:noFill/>
                    <a:ln>
                      <a:noFill/>
                    </a:ln>
                  </pic:spPr>
                </pic:pic>
              </a:graphicData>
            </a:graphic>
          </wp:inline>
        </w:drawing>
      </w:r>
    </w:p>
    <w:p w14:paraId="3B174CAB" w14:textId="77777777" w:rsidR="00594D5B" w:rsidRPr="00594D5B" w:rsidRDefault="00594D5B" w:rsidP="00594D5B">
      <w:pPr>
        <w:spacing w:after="0" w:line="360" w:lineRule="auto"/>
        <w:ind w:firstLine="567"/>
        <w:jc w:val="center"/>
        <w:rPr>
          <w:rFonts w:ascii="Georgia" w:hAnsi="Georgia" w:cs="Times New Roman"/>
          <w:b/>
        </w:rPr>
      </w:pPr>
      <w:r w:rsidRPr="00594D5B">
        <w:rPr>
          <w:rFonts w:ascii="Georgia" w:hAnsi="Georgia" w:cs="Times New Roman"/>
          <w:b/>
        </w:rPr>
        <w:t>Figure 2. Answer of Subject 3</w:t>
      </w:r>
    </w:p>
    <w:p w14:paraId="07E4FD16" w14:textId="77777777" w:rsidR="00594D5B" w:rsidRPr="00594D5B" w:rsidRDefault="00594D5B" w:rsidP="00594D5B">
      <w:pPr>
        <w:spacing w:after="0" w:line="360" w:lineRule="auto"/>
        <w:jc w:val="both"/>
        <w:rPr>
          <w:rFonts w:ascii="Georgia" w:hAnsi="Georgia" w:cs="Times New Roman"/>
        </w:rPr>
      </w:pPr>
    </w:p>
    <w:p w14:paraId="73D42FA1" w14:textId="77777777" w:rsidR="00594D5B" w:rsidRPr="00594D5B" w:rsidRDefault="00594D5B" w:rsidP="00594D5B">
      <w:pPr>
        <w:spacing w:after="0" w:line="360" w:lineRule="auto"/>
        <w:ind w:firstLine="720"/>
        <w:jc w:val="both"/>
        <w:rPr>
          <w:rFonts w:ascii="Georgia" w:hAnsi="Georgia" w:cs="Times New Roman"/>
          <w:lang w:val="en-US"/>
        </w:rPr>
      </w:pPr>
      <w:r w:rsidRPr="00594D5B">
        <w:rPr>
          <w:rFonts w:ascii="Georgia" w:hAnsi="Georgia" w:cs="Times New Roman"/>
        </w:rPr>
        <w:t xml:space="preserve">Based on Figure 2. it can be seen that the subject defines </w:t>
      </w:r>
      <w:r w:rsidRPr="00594D5B">
        <w:rPr>
          <w:rFonts w:ascii="Georgia" w:hAnsi="Georgia" w:cs="Times New Roman"/>
          <w:i/>
        </w:rPr>
        <w:t>r</w:t>
      </w:r>
      <w:r w:rsidRPr="00594D5B">
        <w:rPr>
          <w:rFonts w:ascii="Georgia" w:hAnsi="Georgia" w:cs="Times New Roman"/>
        </w:rPr>
        <w:t xml:space="preserve"> as the hypotenuse. This shows that there is a conflict in understanding the schema between </w:t>
      </w:r>
      <w:r w:rsidRPr="00594D5B">
        <w:rPr>
          <w:rFonts w:ascii="Georgia" w:hAnsi="Georgia" w:cs="Times New Roman"/>
          <w:i/>
        </w:rPr>
        <w:t>r</w:t>
      </w:r>
      <w:r w:rsidRPr="00594D5B">
        <w:rPr>
          <w:rFonts w:ascii="Georgia" w:hAnsi="Georgia" w:cs="Times New Roman"/>
        </w:rPr>
        <w:t xml:space="preserve"> as the hypotenuse and </w:t>
      </w:r>
      <w:r w:rsidRPr="00594D5B">
        <w:rPr>
          <w:rFonts w:ascii="Georgia" w:hAnsi="Georgia" w:cs="Times New Roman"/>
          <w:i/>
        </w:rPr>
        <w:t>r</w:t>
      </w:r>
      <w:r w:rsidRPr="00594D5B">
        <w:rPr>
          <w:rFonts w:ascii="Georgia" w:hAnsi="Georgia" w:cs="Times New Roman"/>
        </w:rPr>
        <w:t xml:space="preserve"> as the radius of the circle. Therefore, the subject understands r as a relationship related to the Pythagorean theorem, namely</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594D5B">
        <w:rPr>
          <w:rFonts w:ascii="Georgia" w:hAnsi="Georgia" w:cs="Times New Roman"/>
        </w:rPr>
        <w:t>. In addition, the subject is also not aware of the center point of the circle that is at the center (0,0).</w:t>
      </w:r>
    </w:p>
    <w:p w14:paraId="6F5CC7E5" w14:textId="2E342A67" w:rsidR="00594D5B" w:rsidRPr="00594D5B" w:rsidRDefault="00594D5B" w:rsidP="00594D5B">
      <w:pPr>
        <w:spacing w:after="0" w:line="360" w:lineRule="auto"/>
        <w:ind w:firstLine="720"/>
        <w:jc w:val="both"/>
        <w:rPr>
          <w:rFonts w:ascii="Georgia" w:hAnsi="Georgia" w:cs="Times New Roman"/>
        </w:rPr>
      </w:pPr>
      <w:r w:rsidRPr="00594D5B">
        <w:rPr>
          <w:rFonts w:ascii="Georgia" w:hAnsi="Georgia" w:cs="Times New Roman"/>
          <w:lang w:val="en-ID"/>
        </w:rPr>
        <w:t>Research subjects who experience cognitive conflict show certain symptoms or signs. This is in accordance with the opinion of Stacey (2009) which states that someone who experiences cognitive conflict has signs or cues.</w:t>
      </w:r>
      <w:r w:rsidRPr="00594D5B">
        <w:rPr>
          <w:rStyle w:val="FootnoteReference"/>
          <w:rFonts w:ascii="Georgia" w:hAnsi="Georgia" w:cs="Times New Roman"/>
          <w:lang w:val="en-ID"/>
        </w:rPr>
        <w:footnoteReference w:id="10"/>
      </w:r>
      <w:r w:rsidRPr="00594D5B">
        <w:rPr>
          <w:rFonts w:ascii="Georgia" w:hAnsi="Georgia" w:cs="Times New Roman"/>
          <w:lang w:val="en-ID"/>
        </w:rPr>
        <w:t xml:space="preserve"> Cognitive conflicts that occur in research subjects because they have preconceptions and experience strange situations. This is in line with the opinion of Fraser (2007), if there is no strangeness (anomaly), then there is no cognitive conflict</w:t>
      </w:r>
      <w:r w:rsidRPr="00594D5B">
        <w:rPr>
          <w:rFonts w:ascii="Georgia" w:hAnsi="Georgia" w:cs="Times New Roman"/>
        </w:rPr>
        <w:t>.</w:t>
      </w:r>
      <w:r w:rsidRPr="00594D5B">
        <w:rPr>
          <w:rStyle w:val="FootnoteReference"/>
          <w:rFonts w:ascii="Georgia" w:hAnsi="Georgia" w:cs="Times New Roman"/>
        </w:rPr>
        <w:footnoteReference w:id="11"/>
      </w:r>
      <w:r w:rsidRPr="00594D5B">
        <w:rPr>
          <w:rFonts w:ascii="Georgia" w:hAnsi="Georgia" w:cs="Times New Roman"/>
          <w:b/>
          <w:lang w:val="en-ID"/>
        </w:rPr>
        <w:t xml:space="preserve"> </w:t>
      </w:r>
      <w:r w:rsidRPr="00594D5B">
        <w:rPr>
          <w:rFonts w:ascii="Georgia" w:hAnsi="Georgia" w:cs="Times New Roman"/>
          <w:lang w:val="en-ID"/>
        </w:rPr>
        <w:t>In addition, there are several other symptoms that indicate the occurrence of conflict: an interest in the given problem, for example, facial expressions that look serious, worries such as expressions that show confusion and doubts in responding. This is in accordance with the opinion of Lee &amp; Kwon (2001).</w:t>
      </w:r>
      <w:r w:rsidRPr="00594D5B">
        <w:rPr>
          <w:rStyle w:val="FootnoteReference"/>
          <w:rFonts w:ascii="Georgia" w:hAnsi="Georgia" w:cs="Times New Roman"/>
          <w:lang w:val="en-ID"/>
        </w:rPr>
        <w:footnoteReference w:id="12"/>
      </w:r>
    </w:p>
    <w:p w14:paraId="556D96B3" w14:textId="77777777" w:rsidR="00594D5B" w:rsidRPr="00594D5B" w:rsidRDefault="00594D5B" w:rsidP="00594D5B">
      <w:pPr>
        <w:spacing w:after="0" w:line="360" w:lineRule="auto"/>
        <w:ind w:firstLine="720"/>
        <w:jc w:val="both"/>
        <w:rPr>
          <w:rFonts w:ascii="Georgia" w:hAnsi="Georgia" w:cs="Times New Roman"/>
          <w:lang w:val="en-ID"/>
        </w:rPr>
      </w:pPr>
      <w:r w:rsidRPr="00594D5B">
        <w:rPr>
          <w:rFonts w:ascii="Georgia" w:hAnsi="Georgia" w:cs="Times New Roman"/>
          <w:lang w:val="en-ID"/>
        </w:rPr>
        <w:t>Cognitive conflict is also influenced by prior subject understanding or prerequisite concepts. The circle material has also been studied in high school. It is common knowledge that many students have misconceptions in mastering this material.</w:t>
      </w:r>
      <w:r w:rsidRPr="00594D5B">
        <w:rPr>
          <w:rStyle w:val="FootnoteReference"/>
          <w:rFonts w:ascii="Georgia" w:hAnsi="Georgia" w:cs="Times New Roman"/>
          <w:lang w:val="en-ID"/>
        </w:rPr>
        <w:footnoteReference w:id="13"/>
      </w:r>
      <w:r w:rsidRPr="00594D5B">
        <w:rPr>
          <w:rFonts w:ascii="Georgia" w:hAnsi="Georgia" w:cs="Times New Roman"/>
          <w:lang w:val="en-ID"/>
        </w:rPr>
        <w:t xml:space="preserve"> Subjects who did not experience cognitive conflict were able to draw correctly if they managed to calculate the radius and center point correctly and vice versa. Based on the results of the description above, in general it can be concluded that the forms of cognitive conflict that arise in solving the equation of the circle are:</w:t>
      </w:r>
    </w:p>
    <w:p w14:paraId="683B2A44" w14:textId="77777777" w:rsidR="00594D5B" w:rsidRPr="00594D5B" w:rsidRDefault="00594D5B" w:rsidP="00594D5B">
      <w:pPr>
        <w:pStyle w:val="ListParagraph"/>
        <w:numPr>
          <w:ilvl w:val="0"/>
          <w:numId w:val="21"/>
        </w:numPr>
        <w:spacing w:after="0" w:line="360" w:lineRule="auto"/>
        <w:ind w:left="567" w:hanging="283"/>
        <w:contextualSpacing w:val="0"/>
        <w:jc w:val="both"/>
        <w:rPr>
          <w:rFonts w:ascii="Georgia" w:hAnsi="Georgia" w:cs="Times New Roman"/>
        </w:rPr>
      </w:pPr>
      <w:r w:rsidRPr="00594D5B">
        <w:rPr>
          <w:rFonts w:ascii="Georgia" w:hAnsi="Georgia"/>
        </w:rPr>
        <w:t>Determining the center point is wrong but drawing a circle with the correct center point.</w:t>
      </w:r>
    </w:p>
    <w:p w14:paraId="40D1595B" w14:textId="77777777" w:rsidR="00594D5B" w:rsidRPr="00594D5B" w:rsidRDefault="00594D5B" w:rsidP="00594D5B">
      <w:pPr>
        <w:pStyle w:val="ListParagraph"/>
        <w:numPr>
          <w:ilvl w:val="0"/>
          <w:numId w:val="21"/>
        </w:numPr>
        <w:spacing w:after="0" w:line="360" w:lineRule="auto"/>
        <w:ind w:left="567" w:hanging="283"/>
        <w:contextualSpacing w:val="0"/>
        <w:jc w:val="both"/>
        <w:rPr>
          <w:rFonts w:ascii="Georgia" w:hAnsi="Georgia"/>
        </w:rPr>
      </w:pPr>
      <w:r w:rsidRPr="00594D5B">
        <w:rPr>
          <w:rFonts w:ascii="Georgia" w:hAnsi="Georgia"/>
        </w:rPr>
        <w:t>Determining the center point is correct but drawing a circle with the wrong center point.</w:t>
      </w:r>
    </w:p>
    <w:p w14:paraId="3A5DCC0E" w14:textId="77777777" w:rsidR="00594D5B" w:rsidRPr="00594D5B" w:rsidRDefault="00594D5B" w:rsidP="00594D5B">
      <w:pPr>
        <w:pStyle w:val="ListParagraph"/>
        <w:numPr>
          <w:ilvl w:val="0"/>
          <w:numId w:val="21"/>
        </w:numPr>
        <w:spacing w:after="0" w:line="360" w:lineRule="auto"/>
        <w:ind w:left="567" w:hanging="283"/>
        <w:contextualSpacing w:val="0"/>
        <w:jc w:val="both"/>
        <w:rPr>
          <w:rFonts w:ascii="Georgia" w:hAnsi="Georgia"/>
        </w:rPr>
      </w:pPr>
      <w:r w:rsidRPr="00594D5B">
        <w:rPr>
          <w:rFonts w:ascii="Georgia" w:hAnsi="Georgia"/>
        </w:rPr>
        <w:t>Calculating the center point is correct but the circle image does not exist.</w:t>
      </w:r>
    </w:p>
    <w:p w14:paraId="3B6A0051" w14:textId="77777777" w:rsidR="00594D5B" w:rsidRPr="00594D5B" w:rsidRDefault="00594D5B" w:rsidP="00594D5B">
      <w:pPr>
        <w:pStyle w:val="ListParagraph"/>
        <w:numPr>
          <w:ilvl w:val="0"/>
          <w:numId w:val="21"/>
        </w:numPr>
        <w:spacing w:after="0" w:line="360" w:lineRule="auto"/>
        <w:ind w:left="567" w:hanging="283"/>
        <w:contextualSpacing w:val="0"/>
        <w:jc w:val="both"/>
        <w:rPr>
          <w:rFonts w:ascii="Georgia" w:hAnsi="Georgia"/>
        </w:rPr>
      </w:pPr>
      <w:r w:rsidRPr="00594D5B">
        <w:rPr>
          <w:rFonts w:ascii="Georgia" w:hAnsi="Georgia"/>
        </w:rPr>
        <w:t>Calculating the radius of a circle is wrong but drawing a circle is correct.</w:t>
      </w:r>
    </w:p>
    <w:p w14:paraId="6C9AE4FC" w14:textId="77777777" w:rsidR="00594D5B" w:rsidRPr="00594D5B" w:rsidRDefault="00594D5B" w:rsidP="00594D5B">
      <w:pPr>
        <w:pStyle w:val="ListParagraph"/>
        <w:numPr>
          <w:ilvl w:val="0"/>
          <w:numId w:val="21"/>
        </w:numPr>
        <w:spacing w:after="0" w:line="360" w:lineRule="auto"/>
        <w:ind w:left="567" w:hanging="283"/>
        <w:contextualSpacing w:val="0"/>
        <w:jc w:val="both"/>
        <w:rPr>
          <w:rFonts w:ascii="Georgia" w:hAnsi="Georgia"/>
        </w:rPr>
      </w:pPr>
      <w:r w:rsidRPr="00594D5B">
        <w:rPr>
          <w:rFonts w:ascii="Georgia" w:hAnsi="Georgia"/>
        </w:rPr>
        <w:t xml:space="preserve">Calculating the radius of a circle is correct but drawing a circle with the wrong radius. </w:t>
      </w:r>
    </w:p>
    <w:p w14:paraId="0D4F9548" w14:textId="77777777" w:rsidR="00594D5B" w:rsidRPr="00594D5B" w:rsidRDefault="00594D5B" w:rsidP="00594D5B">
      <w:pPr>
        <w:pStyle w:val="ListParagraph"/>
        <w:numPr>
          <w:ilvl w:val="0"/>
          <w:numId w:val="21"/>
        </w:numPr>
        <w:spacing w:after="0" w:line="360" w:lineRule="auto"/>
        <w:ind w:left="567" w:hanging="283"/>
        <w:contextualSpacing w:val="0"/>
        <w:jc w:val="both"/>
        <w:rPr>
          <w:rFonts w:ascii="Georgia" w:hAnsi="Georgia"/>
        </w:rPr>
      </w:pPr>
      <w:r w:rsidRPr="00594D5B">
        <w:rPr>
          <w:rFonts w:ascii="Georgia" w:hAnsi="Georgia"/>
        </w:rPr>
        <w:t xml:space="preserve">Calculating the radius of a circle is correct but the circle image does not exist. </w:t>
      </w:r>
    </w:p>
    <w:p w14:paraId="411E96D7" w14:textId="77777777" w:rsidR="00594D5B" w:rsidRPr="00594D5B" w:rsidRDefault="00594D5B" w:rsidP="00594D5B">
      <w:pPr>
        <w:pStyle w:val="ListParagraph"/>
        <w:numPr>
          <w:ilvl w:val="0"/>
          <w:numId w:val="21"/>
        </w:numPr>
        <w:spacing w:after="0" w:line="360" w:lineRule="auto"/>
        <w:ind w:left="567" w:hanging="283"/>
        <w:contextualSpacing w:val="0"/>
        <w:jc w:val="both"/>
        <w:rPr>
          <w:rFonts w:ascii="Georgia" w:hAnsi="Georgia"/>
        </w:rPr>
      </w:pPr>
      <w:r w:rsidRPr="00594D5B">
        <w:rPr>
          <w:rFonts w:ascii="Georgia" w:hAnsi="Georgia"/>
        </w:rPr>
        <w:t xml:space="preserve">Calculating the center point and radius of a circle is correct but drawing a circle is wrong. </w:t>
      </w:r>
    </w:p>
    <w:p w14:paraId="4D8D8BF9" w14:textId="77777777" w:rsidR="00594D5B" w:rsidRPr="00594D5B" w:rsidRDefault="00594D5B" w:rsidP="00594D5B">
      <w:pPr>
        <w:pStyle w:val="ListParagraph"/>
        <w:numPr>
          <w:ilvl w:val="0"/>
          <w:numId w:val="21"/>
        </w:numPr>
        <w:spacing w:after="0" w:line="360" w:lineRule="auto"/>
        <w:ind w:left="567" w:hanging="283"/>
        <w:contextualSpacing w:val="0"/>
        <w:jc w:val="both"/>
        <w:rPr>
          <w:rFonts w:ascii="Georgia" w:hAnsi="Georgia"/>
        </w:rPr>
      </w:pPr>
      <w:r w:rsidRPr="00594D5B">
        <w:rPr>
          <w:rFonts w:ascii="Georgia" w:hAnsi="Georgia"/>
        </w:rPr>
        <w:t xml:space="preserve">Calculating the center point and radius of a circle is correct but the circle image does not exist. </w:t>
      </w:r>
    </w:p>
    <w:p w14:paraId="4A3FAF71" w14:textId="77777777" w:rsidR="00594D5B" w:rsidRPr="00594D5B" w:rsidRDefault="00594D5B" w:rsidP="00594D5B">
      <w:pPr>
        <w:spacing w:after="0" w:line="360" w:lineRule="auto"/>
        <w:ind w:firstLine="720"/>
        <w:jc w:val="both"/>
        <w:rPr>
          <w:rFonts w:ascii="Georgia" w:hAnsi="Georgia" w:cs="Times New Roman"/>
        </w:rPr>
      </w:pPr>
      <w:r w:rsidRPr="00594D5B">
        <w:rPr>
          <w:rFonts w:ascii="Georgia" w:hAnsi="Georgia" w:cs="Times New Roman"/>
        </w:rPr>
        <w:t>Based on the data above, there are several things that students tend to do. They are able to explain the coordinates of the center point and the length of the radius of a circle if they know the equation of a circle better than describing a circle with that equation. Many of them are confused because they don't know where to start drawing the circle which causes conflict. There are concepts missing or not so well integrated that they cannot explain the relationship between the radius of a circle and the center in terms of drawing a circle. Such conditions in students' understanding of the circle have the potential to be the cause of cognitive conflict.</w:t>
      </w:r>
    </w:p>
    <w:p w14:paraId="083A4FAE" w14:textId="77777777" w:rsidR="00594D5B" w:rsidRPr="00594D5B" w:rsidRDefault="00594D5B" w:rsidP="00594D5B">
      <w:pPr>
        <w:spacing w:after="0" w:line="360" w:lineRule="auto"/>
        <w:ind w:firstLine="720"/>
        <w:jc w:val="both"/>
        <w:rPr>
          <w:rFonts w:ascii="Georgia" w:hAnsi="Georgia" w:cs="Times New Roman"/>
        </w:rPr>
      </w:pPr>
      <w:r w:rsidRPr="00594D5B">
        <w:rPr>
          <w:rFonts w:ascii="Georgia" w:hAnsi="Georgia" w:cs="Times New Roman"/>
        </w:rPr>
        <w:t>This is in line with the research conducted by Mega and Rini (2019) regarding cognitive conflicts in the field of geometry as well, this also occurs because of the different schemas that students have in understanding geometric concepts where students use old schemes that are not in accordance with the new.</w:t>
      </w:r>
      <w:r w:rsidRPr="00594D5B">
        <w:rPr>
          <w:rStyle w:val="FootnoteReference"/>
          <w:rFonts w:ascii="Georgia" w:hAnsi="Georgia" w:cs="Times New Roman"/>
        </w:rPr>
        <w:footnoteReference w:id="14"/>
      </w:r>
      <w:r w:rsidRPr="00594D5B">
        <w:rPr>
          <w:rFonts w:ascii="Georgia" w:hAnsi="Georgia" w:cs="Times New Roman"/>
        </w:rPr>
        <w:t xml:space="preserve"> When students admit that there are situations that are not in line with their conceptions, they are interested and/or anxious to resolve the oddities they experience.</w:t>
      </w:r>
      <w:r w:rsidRPr="00594D5B">
        <w:rPr>
          <w:rStyle w:val="FootnoteReference"/>
          <w:rFonts w:ascii="Georgia" w:hAnsi="Georgia" w:cs="Times New Roman"/>
        </w:rPr>
        <w:footnoteReference w:id="15"/>
      </w:r>
    </w:p>
    <w:p w14:paraId="7462BADA" w14:textId="77777777" w:rsidR="007F1160" w:rsidRPr="009535B1" w:rsidRDefault="007F1160" w:rsidP="009535B1">
      <w:pPr>
        <w:spacing w:after="0"/>
        <w:jc w:val="both"/>
        <w:rPr>
          <w:rFonts w:ascii="Georgia" w:eastAsia="Times New Roman" w:hAnsi="Georgia" w:cs="Times New Roman"/>
          <w:b/>
          <w:lang w:val="en-US"/>
        </w:rPr>
      </w:pPr>
    </w:p>
    <w:p w14:paraId="41AC2025" w14:textId="1E53D4DB" w:rsidR="00F70FF8" w:rsidRPr="00723B12" w:rsidRDefault="00F70FF8" w:rsidP="00B24C2D">
      <w:pPr>
        <w:spacing w:after="0" w:line="360" w:lineRule="auto"/>
        <w:jc w:val="both"/>
        <w:rPr>
          <w:rFonts w:ascii="Georgia" w:eastAsia="Arial" w:hAnsi="Georgia" w:cs="Times New Roman"/>
          <w:b/>
        </w:rPr>
      </w:pPr>
      <w:r w:rsidRPr="00723B12">
        <w:rPr>
          <w:rFonts w:ascii="Georgia" w:eastAsia="Arial" w:hAnsi="Georgia" w:cs="Times New Roman"/>
          <w:b/>
        </w:rPr>
        <w:t xml:space="preserve">CONCLUSION </w:t>
      </w:r>
    </w:p>
    <w:p w14:paraId="2D1A3825" w14:textId="33EA8F99" w:rsidR="00594D5B" w:rsidRPr="00594D5B" w:rsidRDefault="00594D5B" w:rsidP="00594D5B">
      <w:pPr>
        <w:tabs>
          <w:tab w:val="left" w:pos="567"/>
        </w:tabs>
        <w:spacing w:line="360" w:lineRule="auto"/>
        <w:jc w:val="both"/>
        <w:rPr>
          <w:rFonts w:ascii="Georgia" w:eastAsia="Times New Roman" w:hAnsi="Georgia" w:cs="Times New Roman"/>
        </w:rPr>
      </w:pPr>
      <w:r>
        <w:rPr>
          <w:rFonts w:ascii="Times New Roman" w:eastAsia="Times New Roman" w:hAnsi="Times New Roman" w:cs="Times New Roman"/>
          <w:sz w:val="24"/>
          <w:szCs w:val="24"/>
          <w:lang w:val="en-US"/>
        </w:rPr>
        <w:tab/>
      </w:r>
      <w:r w:rsidRPr="00594D5B">
        <w:rPr>
          <w:rFonts w:ascii="Georgia" w:eastAsia="Times New Roman" w:hAnsi="Georgia" w:cs="Times New Roman"/>
        </w:rPr>
        <w:t>Based on the description above, there are eight types of cognitive conflicts that arise when students solve problems of circular equations. The efforts that can be made to reduce the occurrence of cognitive conflicts at the student level are (1) by changing the existing scheme; (2) or create a new schema so that the information obtained can be incorporated into the existing schema</w:t>
      </w:r>
      <w:r w:rsidRPr="00594D5B">
        <w:rPr>
          <w:rFonts w:ascii="Georgia" w:hAnsi="Georgia" w:cs="Times New Roman"/>
        </w:rPr>
        <w:t>.</w:t>
      </w:r>
      <w:r w:rsidRPr="00594D5B">
        <w:rPr>
          <w:rStyle w:val="FootnoteReference"/>
          <w:rFonts w:ascii="Georgia" w:hAnsi="Georgia" w:cs="Times New Roman"/>
        </w:rPr>
        <w:footnoteReference w:id="16"/>
      </w:r>
      <w:r w:rsidRPr="00594D5B">
        <w:rPr>
          <w:rFonts w:ascii="Georgia" w:eastAsia="Times New Roman" w:hAnsi="Georgia" w:cs="Times New Roman"/>
        </w:rPr>
        <w:t xml:space="preserve"> It is intended that students have a complete concept and understanding of students' concepts can increase.</w:t>
      </w:r>
    </w:p>
    <w:p w14:paraId="14632B87" w14:textId="77777777" w:rsidR="00594D5B" w:rsidRDefault="00594D5B" w:rsidP="00594D5B">
      <w:pPr>
        <w:tabs>
          <w:tab w:val="left" w:pos="567"/>
        </w:tabs>
        <w:spacing w:after="0" w:line="360" w:lineRule="auto"/>
        <w:jc w:val="both"/>
        <w:rPr>
          <w:rFonts w:ascii="Georgia" w:eastAsiaTheme="minorHAnsi" w:hAnsi="Georgia" w:cs="Times New Roman"/>
          <w:lang w:val="en-US"/>
        </w:rPr>
      </w:pPr>
      <w:r w:rsidRPr="00594D5B">
        <w:rPr>
          <w:rFonts w:ascii="Georgia" w:eastAsia="Times New Roman" w:hAnsi="Georgia" w:cs="Times New Roman"/>
        </w:rPr>
        <w:tab/>
      </w:r>
      <w:r w:rsidRPr="00594D5B">
        <w:rPr>
          <w:rFonts w:ascii="Georgia" w:hAnsi="Georgia" w:cs="Times New Roman"/>
        </w:rPr>
        <w:t>Another alternative problem solving is to use cognitive conflict strategies in the learning process in the classroom (Verawati: 2020, Akmam: 2018).</w:t>
      </w:r>
      <w:r w:rsidRPr="00594D5B">
        <w:rPr>
          <w:rStyle w:val="FootnoteReference"/>
          <w:rFonts w:ascii="Georgia" w:hAnsi="Georgia" w:cs="Times New Roman"/>
        </w:rPr>
        <w:footnoteReference w:id="17"/>
      </w:r>
      <w:r w:rsidRPr="00594D5B">
        <w:rPr>
          <w:rStyle w:val="FootnoteReference"/>
          <w:rFonts w:ascii="Georgia" w:hAnsi="Georgia" w:cs="Times New Roman"/>
        </w:rPr>
        <w:footnoteReference w:id="18"/>
      </w:r>
      <w:r w:rsidRPr="00594D5B">
        <w:rPr>
          <w:rFonts w:ascii="Georgia" w:hAnsi="Georgia" w:cs="Times New Roman"/>
        </w:rPr>
        <w:t xml:space="preserve"> Salamah also suspects that the learning model that can be used to improve the quality of the process and learning outcomes is the Problem-Based Learning model with cognitive conflict strategies.</w:t>
      </w:r>
      <w:r w:rsidRPr="00594D5B">
        <w:rPr>
          <w:rStyle w:val="FootnoteReference"/>
          <w:rFonts w:ascii="Georgia" w:hAnsi="Georgia" w:cs="Times New Roman"/>
        </w:rPr>
        <w:footnoteReference w:id="19"/>
      </w:r>
      <w:r w:rsidRPr="00594D5B">
        <w:rPr>
          <w:rFonts w:ascii="Georgia" w:hAnsi="Georgia" w:cs="Times New Roman"/>
        </w:rPr>
        <w:t xml:space="preserve"> In addition, research conducted by Mufit et al (2018) states that cognitive conflict has a positive effect on students' understanding of concepts in science learning.</w:t>
      </w:r>
      <w:r w:rsidRPr="00594D5B">
        <w:rPr>
          <w:rStyle w:val="FootnoteReference"/>
          <w:rFonts w:ascii="Georgia" w:hAnsi="Georgia" w:cs="Times New Roman"/>
        </w:rPr>
        <w:footnoteReference w:id="20"/>
      </w:r>
      <w:r w:rsidRPr="00594D5B">
        <w:rPr>
          <w:rFonts w:ascii="Georgia" w:hAnsi="Georgia" w:cs="Times New Roman"/>
        </w:rPr>
        <w:t xml:space="preserve"> The results of these studies underlie the authors to recommend the need for cognitive conflict as a strategy in learning to strengthen students' understanding of mathematics, especially in the field of geometry.</w:t>
      </w:r>
    </w:p>
    <w:p w14:paraId="34E0F0CD" w14:textId="29D2B8CA" w:rsidR="00594D5B" w:rsidRPr="00594D5B" w:rsidRDefault="00594D5B" w:rsidP="00594D5B">
      <w:pPr>
        <w:tabs>
          <w:tab w:val="left" w:pos="567"/>
        </w:tabs>
        <w:spacing w:after="0" w:line="360" w:lineRule="auto"/>
        <w:jc w:val="both"/>
        <w:rPr>
          <w:rFonts w:ascii="Georgia" w:eastAsiaTheme="minorHAnsi" w:hAnsi="Georgia" w:cs="Times New Roman"/>
          <w:lang w:val="en-US"/>
        </w:rPr>
      </w:pPr>
      <w:r>
        <w:rPr>
          <w:rFonts w:ascii="Georgia" w:eastAsiaTheme="minorHAnsi" w:hAnsi="Georgia" w:cs="Times New Roman"/>
          <w:lang w:val="en-US"/>
        </w:rPr>
        <w:tab/>
      </w:r>
      <w:r w:rsidRPr="00594D5B">
        <w:rPr>
          <w:rFonts w:ascii="Georgia" w:hAnsi="Georgia" w:cs="Times New Roman"/>
        </w:rPr>
        <w:t xml:space="preserve">In addition, this research is expected to be continued in the future by looking at the benefits or effects caused by the presence of cognitive conflict and the discovery of learning syntax for cognitive conflict strategies, especially in the field of geometry </w:t>
      </w:r>
    </w:p>
    <w:p w14:paraId="542BC57E" w14:textId="77777777" w:rsidR="00191E4B" w:rsidRPr="00723B12" w:rsidRDefault="00191E4B" w:rsidP="00594D5B">
      <w:pPr>
        <w:spacing w:after="0" w:line="240" w:lineRule="auto"/>
        <w:jc w:val="both"/>
        <w:rPr>
          <w:rFonts w:ascii="Georgia" w:eastAsia="Times New Roman" w:hAnsi="Georgia" w:cs="Times New Roman"/>
          <w:b/>
        </w:rPr>
      </w:pPr>
    </w:p>
    <w:p w14:paraId="2E445A07" w14:textId="77777777" w:rsidR="00F70FF8" w:rsidRPr="00723B12" w:rsidRDefault="00F70FF8" w:rsidP="00B24C2D">
      <w:pPr>
        <w:spacing w:after="0" w:line="360" w:lineRule="auto"/>
        <w:jc w:val="both"/>
        <w:rPr>
          <w:rFonts w:ascii="Georgia" w:eastAsia="Arial" w:hAnsi="Georgia" w:cs="Times New Roman"/>
          <w:b/>
        </w:rPr>
      </w:pPr>
      <w:r w:rsidRPr="00723B12">
        <w:rPr>
          <w:rFonts w:ascii="Georgia" w:eastAsia="Arial" w:hAnsi="Georgia" w:cs="Times New Roman"/>
          <w:b/>
        </w:rPr>
        <w:t>REFERENCES</w:t>
      </w:r>
    </w:p>
    <w:p w14:paraId="132C9731"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sz w:val="24"/>
          <w:szCs w:val="24"/>
          <w:lang w:val="en-ID"/>
        </w:rPr>
        <w:fldChar w:fldCharType="begin" w:fldLock="1"/>
      </w:r>
      <w:r>
        <w:rPr>
          <w:rFonts w:ascii="Times New Roman" w:hAnsi="Times New Roman" w:cs="Times New Roman"/>
          <w:b/>
          <w:sz w:val="24"/>
          <w:szCs w:val="24"/>
          <w:lang w:val="en-ID"/>
        </w:rPr>
        <w:instrText xml:space="preserve">ADDIN Mendeley Bibliography CSL_BIBLIOGRAPHY </w:instrText>
      </w:r>
      <w:r>
        <w:rPr>
          <w:rFonts w:ascii="Times New Roman" w:hAnsi="Times New Roman" w:cs="Times New Roman"/>
          <w:b/>
          <w:sz w:val="24"/>
          <w:szCs w:val="24"/>
          <w:lang w:val="en-ID"/>
        </w:rPr>
        <w:fldChar w:fldCharType="separate"/>
      </w:r>
      <w:r>
        <w:rPr>
          <w:rFonts w:ascii="Times New Roman" w:hAnsi="Times New Roman" w:cs="Times New Roman"/>
          <w:noProof/>
          <w:sz w:val="24"/>
          <w:szCs w:val="24"/>
        </w:rPr>
        <w:t xml:space="preserve">Akmam, A., R. Anshari, H. Amir, N. Jalinus, and A. Amran, ‘Influence of Learning Strategy of Cognitive Conflict on Student Misconception in Computational Physics Course’, </w:t>
      </w:r>
      <w:r>
        <w:rPr>
          <w:rFonts w:ascii="Times New Roman" w:hAnsi="Times New Roman" w:cs="Times New Roman"/>
          <w:i/>
          <w:iCs/>
          <w:noProof/>
          <w:sz w:val="24"/>
          <w:szCs w:val="24"/>
        </w:rPr>
        <w:t>IOP Conference Series: Materials Science and Engineering</w:t>
      </w:r>
      <w:r>
        <w:rPr>
          <w:rFonts w:ascii="Times New Roman" w:hAnsi="Times New Roman" w:cs="Times New Roman"/>
          <w:noProof/>
          <w:sz w:val="24"/>
          <w:szCs w:val="24"/>
        </w:rPr>
        <w:t>, 335.1 (2018) &lt;https://doi.org/10.1088/1757-899X/335/1/012074&gt;</w:t>
      </w:r>
    </w:p>
    <w:p w14:paraId="30B0E05C"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Anderson, Lorin W, David R Krathwohl Peter W Airasian, Kathleen A Cruikshank, Richard E Mayer, Paul R Pintrich, James Raths, and others, </w:t>
      </w:r>
      <w:r>
        <w:rPr>
          <w:rFonts w:ascii="Times New Roman" w:hAnsi="Times New Roman" w:cs="Times New Roman"/>
          <w:i/>
          <w:iCs/>
          <w:noProof/>
          <w:sz w:val="24"/>
          <w:szCs w:val="24"/>
        </w:rPr>
        <w:t>A Taxonomy for Learning, Teaching, and Assesing: A Revision of Bloom’s Taxonomy of Educational Objectives</w:t>
      </w:r>
      <w:r>
        <w:rPr>
          <w:rFonts w:ascii="Times New Roman" w:hAnsi="Times New Roman" w:cs="Times New Roman"/>
          <w:noProof/>
          <w:sz w:val="24"/>
          <w:szCs w:val="24"/>
        </w:rPr>
        <w:t xml:space="preserve"> (New York: Addison Wesley Lonman Inc, 2001) &lt;https://www.uky.edu/~rsand1/china2018/texts/Anderson-Krathwohl - A taxonomy for learning teaching and assessing.pdf&gt;</w:t>
      </w:r>
    </w:p>
    <w:p w14:paraId="0C9BEDAF"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Bordrakova, W. V., ‘The Role of External and Cognitive Conflict in Childrens Conservation Learning.’ (University of New York, 1988)</w:t>
      </w:r>
    </w:p>
    <w:p w14:paraId="54FA1842"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Budiarto, Mega Teguh, and Rini Setyaningsih, ‘Konflik Kognitif Mahasiswa Dalam Memahami Cognitive Conflict of Students in Understanding’, 2 (2019)</w:t>
      </w:r>
    </w:p>
    <w:p w14:paraId="198172F9"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Carpenter, Thomas P., Elizabeth Fennema, Karen Fuson, James Hiebert, Piet Human, Hanlie Murray, and others, ‘Teaching Mathematics for Learning with Understanding in the Primary Grades’ (New Orleans, LA: The Annual Meeting of the American Educational Research Association, 1994) &lt;https://doi.org/R117G10002&gt;</w:t>
      </w:r>
    </w:p>
    <w:p w14:paraId="16246984"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Ernest, Paul, </w:t>
      </w:r>
      <w:r>
        <w:rPr>
          <w:rFonts w:ascii="Times New Roman" w:hAnsi="Times New Roman" w:cs="Times New Roman"/>
          <w:i/>
          <w:iCs/>
          <w:noProof/>
          <w:sz w:val="24"/>
          <w:szCs w:val="24"/>
        </w:rPr>
        <w:t>The Philosophy of Mathematics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The Philosophy of Mathematics Education</w:t>
      </w:r>
      <w:r>
        <w:rPr>
          <w:rFonts w:ascii="Times New Roman" w:hAnsi="Times New Roman" w:cs="Times New Roman"/>
          <w:noProof/>
          <w:sz w:val="24"/>
          <w:szCs w:val="24"/>
        </w:rPr>
        <w:t>, 2002 &lt;https://doi.org/10.4324/9780203497012&gt;</w:t>
      </w:r>
    </w:p>
    <w:p w14:paraId="0DF0A321"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Fanny Adibah, ‘Penelusuran Konflik Kognitif Mahasiswa Dalam Menyelesaikan Masalah Geometri Ditinjau Dari Perbedaan Gaya Kognitif Field Dependent Dan Field Independent’, </w:t>
      </w:r>
      <w:r>
        <w:rPr>
          <w:rFonts w:ascii="Times New Roman" w:hAnsi="Times New Roman" w:cs="Times New Roman"/>
          <w:i/>
          <w:iCs/>
          <w:noProof/>
          <w:sz w:val="24"/>
          <w:szCs w:val="24"/>
        </w:rPr>
        <w:t>Jurnal Widyaloka IKIP Widya Darma</w:t>
      </w:r>
      <w:r>
        <w:rPr>
          <w:rFonts w:ascii="Times New Roman" w:hAnsi="Times New Roman" w:cs="Times New Roman"/>
          <w:noProof/>
          <w:sz w:val="24"/>
          <w:szCs w:val="24"/>
        </w:rPr>
        <w:t>, 5.2 (2018), 155–72</w:t>
      </w:r>
    </w:p>
    <w:p w14:paraId="63AEE8FA"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Fraser, Duncan, ‘Using Cognitive Conflict to Promote a Structural Understanding of Grade 11 Algebra’, </w:t>
      </w:r>
      <w:r>
        <w:rPr>
          <w:rFonts w:ascii="Times New Roman" w:hAnsi="Times New Roman" w:cs="Times New Roman"/>
          <w:i/>
          <w:iCs/>
          <w:noProof/>
          <w:sz w:val="24"/>
          <w:szCs w:val="24"/>
        </w:rPr>
        <w:t>ProQuest Dissertations and Theses</w:t>
      </w:r>
      <w:r>
        <w:rPr>
          <w:rFonts w:ascii="Times New Roman" w:hAnsi="Times New Roman" w:cs="Times New Roman"/>
          <w:noProof/>
          <w:sz w:val="24"/>
          <w:szCs w:val="24"/>
        </w:rPr>
        <w:t>, 2007, 174 &lt;https://search.proquest.com/dissertations-theses/using-cognitive-conflict-promote-structural/docview/304720957/se-2?accountid=13042%0Ahttp://oxfordsfx.hosted.exlibrisgroup.com/oxford?url_ver=Z39.88-2004&amp;rft_val_fmt=info:ofi/fmt:kev:mtx:dissertation&amp;genre=&gt;</w:t>
      </w:r>
    </w:p>
    <w:p w14:paraId="482C9D4E"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Haryono, Heny Ekawati, Khafidhoh Nurul Aini, Achmad Samsudin, and Parsaoran Siahaan, ‘Reducing the Students’ Misconceptions on the Theory of Heat through Cognitive Conflict Instruction (CCI)’, </w:t>
      </w:r>
      <w:r>
        <w:rPr>
          <w:rFonts w:ascii="Times New Roman" w:hAnsi="Times New Roman" w:cs="Times New Roman"/>
          <w:i/>
          <w:iCs/>
          <w:noProof/>
          <w:sz w:val="24"/>
          <w:szCs w:val="24"/>
        </w:rPr>
        <w:t>AIP Conference Proceedings</w:t>
      </w:r>
      <w:r>
        <w:rPr>
          <w:rFonts w:ascii="Times New Roman" w:hAnsi="Times New Roman" w:cs="Times New Roman"/>
          <w:noProof/>
          <w:sz w:val="24"/>
          <w:szCs w:val="24"/>
        </w:rPr>
        <w:t>, 2330.March (2021) &lt;https://doi.org/10.1063/5.0043400&gt;</w:t>
      </w:r>
    </w:p>
    <w:p w14:paraId="729B950C"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Lee, Gyoungho, and Jaesool Kwon, ‘What Do We Know about Students’ Cognitive Conflict in Science Classroom: A Theoretical Model of Cognitive Conflict Process.’, </w:t>
      </w:r>
      <w:r>
        <w:rPr>
          <w:rFonts w:ascii="Times New Roman" w:hAnsi="Times New Roman" w:cs="Times New Roman"/>
          <w:i/>
          <w:iCs/>
          <w:noProof/>
          <w:sz w:val="24"/>
          <w:szCs w:val="24"/>
        </w:rPr>
        <w:t>Proceedings of 2001 AETS Annual Meeting</w:t>
      </w:r>
      <w:r>
        <w:rPr>
          <w:rFonts w:ascii="Times New Roman" w:hAnsi="Times New Roman" w:cs="Times New Roman"/>
          <w:noProof/>
          <w:sz w:val="24"/>
          <w:szCs w:val="24"/>
        </w:rPr>
        <w:t>, 2001, 309–25</w:t>
      </w:r>
    </w:p>
    <w:p w14:paraId="55B1D3C9"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Lee, Gyoungho, Jaesool Kwon, Sang Suk Park, Jung Whan Kim, Hyeok Gu Kwon, and Hac Kyoo Park, ‘Development of an Instrument for Measuring Cognitive Conflict in Secondary-Level Science Classes’, </w:t>
      </w:r>
      <w:r>
        <w:rPr>
          <w:rFonts w:ascii="Times New Roman" w:hAnsi="Times New Roman" w:cs="Times New Roman"/>
          <w:i/>
          <w:iCs/>
          <w:noProof/>
          <w:sz w:val="24"/>
          <w:szCs w:val="24"/>
        </w:rPr>
        <w:t>Journal of Research in Science Teaching</w:t>
      </w:r>
      <w:r>
        <w:rPr>
          <w:rFonts w:ascii="Times New Roman" w:hAnsi="Times New Roman" w:cs="Times New Roman"/>
          <w:noProof/>
          <w:sz w:val="24"/>
          <w:szCs w:val="24"/>
        </w:rPr>
        <w:t>, 40.6 (2003), 585–603 &lt;https://doi.org/10.1002/tea.10099&gt;</w:t>
      </w:r>
    </w:p>
    <w:p w14:paraId="2216AB8D"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Maharani, Indah Puspitasari, and Subanji Subanji, ‘Scaffolding Based on Cognitive Conflict in Correcting the Students’ Algebra Errors’, </w:t>
      </w:r>
      <w:r>
        <w:rPr>
          <w:rFonts w:ascii="Times New Roman" w:hAnsi="Times New Roman" w:cs="Times New Roman"/>
          <w:i/>
          <w:iCs/>
          <w:noProof/>
          <w:sz w:val="24"/>
          <w:szCs w:val="24"/>
        </w:rPr>
        <w:t>International Electronic Journal of Mathematics Education</w:t>
      </w:r>
      <w:r>
        <w:rPr>
          <w:rFonts w:ascii="Times New Roman" w:hAnsi="Times New Roman" w:cs="Times New Roman"/>
          <w:noProof/>
          <w:sz w:val="24"/>
          <w:szCs w:val="24"/>
        </w:rPr>
        <w:t>, 13.2 (2018), 67–74 &lt;https://doi.org/10.12973/iejme/2697&gt;</w:t>
      </w:r>
    </w:p>
    <w:p w14:paraId="5ABFF86B"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Maulida, Farrisa Ovira, Mardiyana, and Ikrar Pramudya, ‘Analisis Pemahaman Konsep Siswa Pada Materi Persamaan Lingkaran DItijau Dari Motivasi Belajar Siswa Kelas XII IPS 4 SMA Negeri 6 Surakarta Tahun Pelajaran 2016/2017’, </w:t>
      </w:r>
      <w:r>
        <w:rPr>
          <w:rFonts w:ascii="Times New Roman" w:hAnsi="Times New Roman" w:cs="Times New Roman"/>
          <w:i/>
          <w:iCs/>
          <w:noProof/>
          <w:sz w:val="24"/>
          <w:szCs w:val="24"/>
        </w:rPr>
        <w:t>Jurnal Pendidikan Matematika Dan Matematika</w:t>
      </w:r>
      <w:r>
        <w:rPr>
          <w:rFonts w:ascii="Times New Roman" w:hAnsi="Times New Roman" w:cs="Times New Roman"/>
          <w:noProof/>
          <w:sz w:val="24"/>
          <w:szCs w:val="24"/>
        </w:rPr>
        <w:t>, 1.4 (2017), 26–45 &lt;http://www.jurnal.fkip.uns.ac.id/index.php/matematika/article/view/11603/8303&gt;</w:t>
      </w:r>
    </w:p>
    <w:p w14:paraId="11AA038E"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Mufit, F., F. Festiyed, A. Fauzan, and L. Lufri, ‘Impact of Learning Model Based on Cognitive Conflict toward Student’s Conceptual Understanding’, </w:t>
      </w:r>
      <w:r>
        <w:rPr>
          <w:rFonts w:ascii="Times New Roman" w:hAnsi="Times New Roman" w:cs="Times New Roman"/>
          <w:i/>
          <w:iCs/>
          <w:noProof/>
          <w:sz w:val="24"/>
          <w:szCs w:val="24"/>
        </w:rPr>
        <w:t>IOP Conference Series: Materials Science and Engineering</w:t>
      </w:r>
      <w:r>
        <w:rPr>
          <w:rFonts w:ascii="Times New Roman" w:hAnsi="Times New Roman" w:cs="Times New Roman"/>
          <w:noProof/>
          <w:sz w:val="24"/>
          <w:szCs w:val="24"/>
        </w:rPr>
        <w:t>, 335.1 (2018) &lt;https://doi.org/10.1088/1757-899X/335/1/012072&gt;</w:t>
      </w:r>
    </w:p>
    <w:p w14:paraId="42571A87"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Mujib, Abdul, ‘Konflik Kognitif Dalam Pembelajaran Kalkulus II’, </w:t>
      </w:r>
      <w:r>
        <w:rPr>
          <w:rFonts w:ascii="Times New Roman" w:hAnsi="Times New Roman" w:cs="Times New Roman"/>
          <w:i/>
          <w:iCs/>
          <w:noProof/>
          <w:sz w:val="24"/>
          <w:szCs w:val="24"/>
        </w:rPr>
        <w:t>Seminar Nasional Hasil Penelitian</w:t>
      </w:r>
      <w:r>
        <w:rPr>
          <w:rFonts w:ascii="Times New Roman" w:hAnsi="Times New Roman" w:cs="Times New Roman"/>
          <w:noProof/>
          <w:sz w:val="24"/>
          <w:szCs w:val="24"/>
        </w:rPr>
        <w:t>, 2018, 68–78</w:t>
      </w:r>
    </w:p>
    <w:p w14:paraId="22A192DF"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Ningrum, Salamah Sulistya, ‘Strategi Konflik Kognitif Dalam Pembelajaran Matematika’, May, 2019 &lt;https://doi.org/10.13140/RG.2.2.31304.78082&gt;</w:t>
      </w:r>
    </w:p>
    <w:p w14:paraId="2B8C4915"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Sari, Anita, ‘Profil Konflik Kognitif Dengan Intervensi Dalam Pemahaman Aljabar Mahasiswa Politani Pangkep’, </w:t>
      </w:r>
      <w:r>
        <w:rPr>
          <w:rFonts w:ascii="Times New Roman" w:hAnsi="Times New Roman" w:cs="Times New Roman"/>
          <w:i/>
          <w:iCs/>
          <w:noProof/>
          <w:sz w:val="24"/>
          <w:szCs w:val="24"/>
        </w:rPr>
        <w:t>Histogram: Jurnal Pendidikan Matematika</w:t>
      </w:r>
      <w:r>
        <w:rPr>
          <w:rFonts w:ascii="Times New Roman" w:hAnsi="Times New Roman" w:cs="Times New Roman"/>
          <w:noProof/>
          <w:sz w:val="24"/>
          <w:szCs w:val="24"/>
        </w:rPr>
        <w:t>, 4.2 (2020), 545–64</w:t>
      </w:r>
    </w:p>
    <w:p w14:paraId="3FDC7CD3"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Stacey, K., E. Sonenberg, A. Nicholson, T. Bonch, and V. Steinle, ‘A Teaching of a Model Exploiting Cognitive Conflict’, </w:t>
      </w:r>
      <w:r>
        <w:rPr>
          <w:rFonts w:ascii="Times New Roman" w:hAnsi="Times New Roman" w:cs="Times New Roman"/>
          <w:i/>
          <w:iCs/>
          <w:noProof/>
          <w:sz w:val="24"/>
          <w:szCs w:val="24"/>
        </w:rPr>
        <w:t>Bayesian Network: University of Melbourne</w:t>
      </w:r>
      <w:r>
        <w:rPr>
          <w:rFonts w:ascii="Times New Roman" w:hAnsi="Times New Roman" w:cs="Times New Roman"/>
          <w:noProof/>
          <w:sz w:val="24"/>
          <w:szCs w:val="24"/>
        </w:rPr>
        <w:t>, June, 2003, 163–67 &lt;https://doi.org/10.1007/3-540-44963-9&gt;</w:t>
      </w:r>
    </w:p>
    <w:p w14:paraId="08AD8E76"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Stylianides, Andreas J., and Gabriel J. Stylianides, ‘Learning Mathematics with Understanding: A Critical Consideration of the Learning Principle in the Principles and Standards for School Mathematics’, </w:t>
      </w:r>
      <w:r>
        <w:rPr>
          <w:rFonts w:ascii="Times New Roman" w:hAnsi="Times New Roman" w:cs="Times New Roman"/>
          <w:i/>
          <w:iCs/>
          <w:noProof/>
          <w:sz w:val="24"/>
          <w:szCs w:val="24"/>
        </w:rPr>
        <w:t>The Mathematics Enthusiast</w:t>
      </w:r>
      <w:r>
        <w:rPr>
          <w:rFonts w:ascii="Times New Roman" w:hAnsi="Times New Roman" w:cs="Times New Roman"/>
          <w:noProof/>
          <w:sz w:val="24"/>
          <w:szCs w:val="24"/>
        </w:rPr>
        <w:t>, 4.1 (2007), 103–14 &lt;https://doi.org/10.54870/1551-3440.1063&gt;</w:t>
      </w:r>
    </w:p>
    <w:p w14:paraId="053EF640"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Verawati, Ni Nyoman Sri Putu, ‘Efek Penggunaan Strategi Konflik Kognitif Terhadap Hasil Belajar Kognitif Siswa’, </w:t>
      </w:r>
      <w:r>
        <w:rPr>
          <w:rFonts w:ascii="Times New Roman" w:hAnsi="Times New Roman" w:cs="Times New Roman"/>
          <w:i/>
          <w:iCs/>
          <w:noProof/>
          <w:sz w:val="24"/>
          <w:szCs w:val="24"/>
        </w:rPr>
        <w:t>JISIP (Jurnal Ilmu Sosial Dan Pendidikan)</w:t>
      </w:r>
      <w:r>
        <w:rPr>
          <w:rFonts w:ascii="Times New Roman" w:hAnsi="Times New Roman" w:cs="Times New Roman"/>
          <w:noProof/>
          <w:sz w:val="24"/>
          <w:szCs w:val="24"/>
        </w:rPr>
        <w:t>, 4.2 (2020), 113–19 &lt;https://doi.org/10.36312/jisip.v4i2.1242&gt;</w:t>
      </w:r>
    </w:p>
    <w:p w14:paraId="5B799D43"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noProof/>
          <w:sz w:val="24"/>
        </w:rPr>
      </w:pPr>
      <w:r>
        <w:rPr>
          <w:rFonts w:ascii="Times New Roman" w:hAnsi="Times New Roman" w:cs="Times New Roman"/>
          <w:noProof/>
          <w:sz w:val="24"/>
          <w:szCs w:val="24"/>
        </w:rPr>
        <w:t xml:space="preserve">Widadah, Soffil, ‘Konflik Kognitif Mahasiswa Calon Guru Dalam Pembuktian Matematika’, </w:t>
      </w:r>
      <w:r>
        <w:rPr>
          <w:rFonts w:ascii="Times New Roman" w:hAnsi="Times New Roman" w:cs="Times New Roman"/>
          <w:i/>
          <w:iCs/>
          <w:noProof/>
          <w:sz w:val="24"/>
          <w:szCs w:val="24"/>
        </w:rPr>
        <w:t>Jurnal Edukasi</w:t>
      </w:r>
      <w:r>
        <w:rPr>
          <w:rFonts w:ascii="Times New Roman" w:hAnsi="Times New Roman" w:cs="Times New Roman"/>
          <w:noProof/>
          <w:sz w:val="24"/>
          <w:szCs w:val="24"/>
        </w:rPr>
        <w:t>, 3.1 (2017), 146–51</w:t>
      </w:r>
    </w:p>
    <w:p w14:paraId="6392ED07" w14:textId="77777777" w:rsidR="00594D5B" w:rsidRDefault="00594D5B" w:rsidP="00594D5B">
      <w:pPr>
        <w:widowControl w:val="0"/>
        <w:autoSpaceDE w:val="0"/>
        <w:autoSpaceDN w:val="0"/>
        <w:adjustRightInd w:val="0"/>
        <w:spacing w:line="240" w:lineRule="auto"/>
        <w:ind w:left="480" w:hanging="480"/>
        <w:rPr>
          <w:rFonts w:ascii="Times New Roman" w:hAnsi="Times New Roman" w:cs="Times New Roman"/>
          <w:b/>
          <w:sz w:val="24"/>
          <w:szCs w:val="24"/>
          <w:lang w:val="en-ID"/>
        </w:rPr>
      </w:pPr>
      <w:r>
        <w:rPr>
          <w:rFonts w:ascii="Times New Roman" w:hAnsi="Times New Roman" w:cs="Times New Roman"/>
          <w:b/>
          <w:sz w:val="24"/>
          <w:szCs w:val="24"/>
          <w:lang w:val="en-ID"/>
        </w:rPr>
        <w:fldChar w:fldCharType="end"/>
      </w:r>
    </w:p>
    <w:p w14:paraId="638A3157" w14:textId="41F9472E" w:rsidR="00191E4B" w:rsidRPr="009535B1" w:rsidRDefault="00191E4B" w:rsidP="00594D5B">
      <w:pPr>
        <w:widowControl w:val="0"/>
        <w:autoSpaceDE w:val="0"/>
        <w:autoSpaceDN w:val="0"/>
        <w:adjustRightInd w:val="0"/>
        <w:spacing w:line="360" w:lineRule="auto"/>
        <w:ind w:left="480" w:hanging="480"/>
        <w:jc w:val="both"/>
        <w:rPr>
          <w:rFonts w:ascii="Georgia" w:hAnsi="Georgia" w:cs="Times New Roman"/>
        </w:rPr>
      </w:pPr>
    </w:p>
    <w:sectPr w:rsidR="00191E4B" w:rsidRPr="009535B1" w:rsidSect="0065735E">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851" w:right="851" w:bottom="851"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18F80" w14:textId="77777777" w:rsidR="00AE37C5" w:rsidRDefault="00AE37C5">
      <w:pPr>
        <w:spacing w:after="0" w:line="240" w:lineRule="auto"/>
      </w:pPr>
      <w:r>
        <w:separator/>
      </w:r>
    </w:p>
  </w:endnote>
  <w:endnote w:type="continuationSeparator" w:id="0">
    <w:p w14:paraId="1CDBBEA4" w14:textId="77777777" w:rsidR="00AE37C5" w:rsidRDefault="00AE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FKai-SB">
    <w:altName w:val="Microsoft JhengHei Light"/>
    <w:panose1 w:val="00000000000000000000"/>
    <w:charset w:val="88"/>
    <w:family w:val="script"/>
    <w:notTrueType/>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Lato">
    <w:altName w:val="Calibri"/>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ato" w:hAnsi="Lato"/>
        <w:sz w:val="18"/>
        <w:szCs w:val="18"/>
      </w:rPr>
      <w:id w:val="52741093"/>
      <w:docPartObj>
        <w:docPartGallery w:val="Page Numbers (Bottom of Page)"/>
        <w:docPartUnique/>
      </w:docPartObj>
    </w:sdtPr>
    <w:sdtEndPr/>
    <w:sdtContent>
      <w:sdt>
        <w:sdtPr>
          <w:rPr>
            <w:rFonts w:ascii="Lato" w:hAnsi="Lato"/>
            <w:sz w:val="18"/>
            <w:szCs w:val="18"/>
          </w:rPr>
          <w:id w:val="-2036958135"/>
          <w:docPartObj>
            <w:docPartGallery w:val="Page Numbers (Top of Page)"/>
            <w:docPartUnique/>
          </w:docPartObj>
        </w:sdtPr>
        <w:sdtEndPr/>
        <w:sdtContent>
          <w:p w14:paraId="40D87C72" w14:textId="77777777" w:rsidR="00CA133C" w:rsidRPr="00F936B2" w:rsidRDefault="00CA133C" w:rsidP="0030123D">
            <w:pPr>
              <w:pStyle w:val="Footer"/>
              <w:jc w:val="center"/>
              <w:rPr>
                <w:rFonts w:ascii="Lato" w:hAnsi="Lato"/>
                <w:sz w:val="18"/>
                <w:szCs w:val="18"/>
              </w:rPr>
            </w:pPr>
          </w:p>
          <w:p w14:paraId="4C2AF8DB" w14:textId="77777777" w:rsidR="003B2EC2" w:rsidRPr="00F936B2" w:rsidRDefault="0030123D" w:rsidP="0030123D">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3D0B28">
              <w:rPr>
                <w:rFonts w:ascii="Lato" w:hAnsi="Lato"/>
                <w:bCs/>
                <w:noProof/>
                <w:sz w:val="18"/>
                <w:szCs w:val="18"/>
              </w:rPr>
              <w:t>4</w:t>
            </w:r>
            <w:r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15</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ato" w:hAnsi="Lato"/>
        <w:sz w:val="18"/>
        <w:szCs w:val="18"/>
      </w:rPr>
      <w:id w:val="1642917024"/>
      <w:docPartObj>
        <w:docPartGallery w:val="Page Numbers (Bottom of Page)"/>
        <w:docPartUnique/>
      </w:docPartObj>
    </w:sdtPr>
    <w:sdtEndPr/>
    <w:sdtContent>
      <w:sdt>
        <w:sdtPr>
          <w:rPr>
            <w:rFonts w:ascii="Lato" w:hAnsi="Lato"/>
            <w:sz w:val="18"/>
            <w:szCs w:val="18"/>
          </w:rPr>
          <w:id w:val="365021202"/>
          <w:docPartObj>
            <w:docPartGallery w:val="Page Numbers (Top of Page)"/>
            <w:docPartUnique/>
          </w:docPartObj>
        </w:sdtPr>
        <w:sdtEndPr/>
        <w:sdtContent>
          <w:p w14:paraId="50C49368" w14:textId="77777777" w:rsidR="00CA133C" w:rsidRPr="00F936B2" w:rsidRDefault="00CA133C" w:rsidP="00CA133C">
            <w:pPr>
              <w:pStyle w:val="Footer"/>
              <w:jc w:val="center"/>
              <w:rPr>
                <w:rFonts w:ascii="Lato" w:hAnsi="Lato"/>
                <w:sz w:val="18"/>
                <w:szCs w:val="18"/>
              </w:rPr>
            </w:pPr>
          </w:p>
          <w:p w14:paraId="2057E562" w14:textId="77777777" w:rsidR="003B2EC2" w:rsidRPr="00F936B2" w:rsidRDefault="00CA133C" w:rsidP="00CA133C">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3D0B28">
              <w:rPr>
                <w:rFonts w:ascii="Lato" w:hAnsi="Lato"/>
                <w:bCs/>
                <w:noProof/>
                <w:sz w:val="18"/>
                <w:szCs w:val="18"/>
              </w:rPr>
              <w:t>5</w:t>
            </w:r>
            <w:r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7</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FEF2D" w14:textId="68EDE5ED" w:rsidR="00CA133C" w:rsidRPr="007F1160" w:rsidRDefault="00723B12"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rPr>
      <w:t>Volume;issue;month;year</w:t>
    </w:r>
  </w:p>
  <w:p w14:paraId="7A575CA6" w14:textId="582E2867" w:rsidR="00CA133C" w:rsidRPr="007F1160" w:rsidRDefault="00CA133C"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lang w:val="id-ID"/>
      </w:rPr>
      <w:t xml:space="preserve">Received </w:t>
    </w:r>
    <w:r w:rsidR="00242F1D" w:rsidRPr="007F1160">
      <w:rPr>
        <w:rStyle w:val="kcmread1114"/>
        <w:rFonts w:ascii="Georgia" w:hAnsi="Georgia" w:cs="Times New Roman"/>
        <w:sz w:val="16"/>
        <w:lang w:val="id-ID"/>
      </w:rPr>
      <w:t>date month year</w:t>
    </w:r>
    <w:r w:rsidRPr="007F1160">
      <w:rPr>
        <w:rStyle w:val="kcmread1114"/>
        <w:rFonts w:ascii="Georgia" w:hAnsi="Georgia" w:cs="Times New Roman"/>
        <w:sz w:val="16"/>
        <w:lang w:val="id-ID"/>
      </w:rPr>
      <w:t xml:space="preserve">; Received in revised form </w:t>
    </w:r>
    <w:r w:rsidR="00242F1D" w:rsidRPr="007F1160">
      <w:rPr>
        <w:rStyle w:val="kcmread1114"/>
        <w:rFonts w:ascii="Georgia" w:hAnsi="Georgia" w:cs="Times New Roman"/>
        <w:sz w:val="16"/>
        <w:lang w:val="id-ID"/>
      </w:rPr>
      <w:t>date month year</w:t>
    </w:r>
    <w:r w:rsidRPr="007F1160">
      <w:rPr>
        <w:rStyle w:val="kcmread1114"/>
        <w:rFonts w:ascii="Georgia" w:hAnsi="Georgia" w:cs="Times New Roman"/>
        <w:sz w:val="16"/>
        <w:lang w:val="id-ID"/>
      </w:rPr>
      <w:t xml:space="preserve">; Accepted  </w:t>
    </w:r>
    <w:r w:rsidR="00242F1D" w:rsidRPr="007F1160">
      <w:rPr>
        <w:rStyle w:val="kcmread1114"/>
        <w:rFonts w:ascii="Georgia" w:hAnsi="Georgia" w:cs="Times New Roman"/>
        <w:sz w:val="16"/>
        <w:lang w:val="id-ID"/>
      </w:rPr>
      <w:t>date month year</w:t>
    </w:r>
    <w:r w:rsidR="00723B12" w:rsidRPr="007F1160">
      <w:rPr>
        <w:rStyle w:val="kcmread1114"/>
        <w:rFonts w:ascii="Georgia" w:hAnsi="Georgia" w:cs="Times New Roman"/>
        <w:sz w:val="16"/>
      </w:rPr>
      <w:t>;</w:t>
    </w:r>
    <w:r w:rsidR="00723B12" w:rsidRPr="007F1160">
      <w:rPr>
        <w:rStyle w:val="kcmread1114"/>
        <w:rFonts w:ascii="Georgia" w:hAnsi="Georgia" w:cs="Times New Roman"/>
        <w:sz w:val="16"/>
        <w:lang w:val="id-ID"/>
      </w:rPr>
      <w:t xml:space="preserve"> Available online date month year</w:t>
    </w:r>
  </w:p>
  <w:p w14:paraId="4D87A6EA" w14:textId="32D2C14F" w:rsidR="00723B12" w:rsidRPr="00723B12" w:rsidRDefault="00723B12" w:rsidP="00723B12">
    <w:pPr>
      <w:shd w:val="clear" w:color="auto" w:fill="FFFFFF"/>
      <w:spacing w:after="0" w:line="240" w:lineRule="auto"/>
      <w:rPr>
        <w:rFonts w:ascii="Georgia" w:eastAsia="Times New Roman" w:hAnsi="Georgia" w:cs="Arial"/>
        <w:sz w:val="16"/>
        <w:szCs w:val="16"/>
        <w:lang w:val="en-US" w:eastAsia="en-US"/>
      </w:rPr>
    </w:pPr>
    <w:r w:rsidRPr="00723B12">
      <w:rPr>
        <w:rFonts w:ascii="Georgia" w:eastAsia="Times New Roman" w:hAnsi="Georgia" w:cs="Arial"/>
        <w:sz w:val="16"/>
        <w:szCs w:val="16"/>
        <w:lang w:val="en-US" w:eastAsia="en-US"/>
      </w:rPr>
      <w:t xml:space="preserve">This is an open access article under </w:t>
    </w:r>
    <w:r w:rsidR="007F1160" w:rsidRPr="007F1160">
      <w:rPr>
        <w:rFonts w:ascii="Georgia" w:hAnsi="Georgia" w:cs="Arial"/>
        <w:color w:val="333333"/>
        <w:sz w:val="16"/>
        <w:szCs w:val="16"/>
        <w:shd w:val="clear" w:color="auto" w:fill="FFFFFF"/>
      </w:rPr>
      <w:t>a </w:t>
    </w:r>
    <w:hyperlink r:id="rId1" w:history="1">
      <w:r w:rsidR="007F1160" w:rsidRPr="007F1160">
        <w:rPr>
          <w:rStyle w:val="Hyperlink"/>
          <w:rFonts w:ascii="Georgia" w:hAnsi="Georgia" w:cs="Arial"/>
          <w:color w:val="0D355E"/>
          <w:sz w:val="16"/>
          <w:szCs w:val="16"/>
          <w:shd w:val="clear" w:color="auto" w:fill="FFFFFF"/>
        </w:rPr>
        <w:t>Creative Commons Attribution-NonCommercial-ShareAlike 4.0 International License</w:t>
      </w:r>
    </w:hyperlink>
    <w:r w:rsidR="007F1160" w:rsidRPr="007F1160">
      <w:rPr>
        <w:rFonts w:ascii="Georgia" w:hAnsi="Georgia" w:cs="Arial"/>
        <w:color w:val="333333"/>
        <w:sz w:val="16"/>
        <w:szCs w:val="16"/>
        <w:shd w:val="clear" w:color="auto" w:fill="FFFFFF"/>
      </w:rPr>
      <w:t>.</w:t>
    </w:r>
  </w:p>
  <w:p w14:paraId="048A3B34" w14:textId="7DD0EB8E" w:rsidR="000A1372" w:rsidRPr="00723B12" w:rsidRDefault="000A1372" w:rsidP="000D63D4">
    <w:pPr>
      <w:pStyle w:val="ListParagraph"/>
      <w:spacing w:after="0" w:line="240" w:lineRule="auto"/>
      <w:ind w:left="0"/>
      <w:rPr>
        <w:rFonts w:ascii="Lato" w:hAnsi="Lato" w:cs="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C8C59" w14:textId="77777777" w:rsidR="00AE37C5" w:rsidRDefault="00AE37C5">
      <w:pPr>
        <w:spacing w:after="0" w:line="240" w:lineRule="auto"/>
      </w:pPr>
      <w:r>
        <w:separator/>
      </w:r>
    </w:p>
  </w:footnote>
  <w:footnote w:type="continuationSeparator" w:id="0">
    <w:p w14:paraId="5B581FC7" w14:textId="77777777" w:rsidR="00AE37C5" w:rsidRDefault="00AE37C5">
      <w:pPr>
        <w:spacing w:after="0" w:line="240" w:lineRule="auto"/>
      </w:pPr>
      <w:r>
        <w:continuationSeparator/>
      </w:r>
    </w:p>
  </w:footnote>
  <w:footnote w:id="1">
    <w:p w14:paraId="2D215FC2" w14:textId="77777777" w:rsidR="00594D5B" w:rsidRDefault="00594D5B" w:rsidP="00594D5B">
      <w:pPr>
        <w:pStyle w:val="FootnoteText"/>
        <w:jc w:val="both"/>
      </w:pPr>
      <w:r>
        <w:rPr>
          <w:rStyle w:val="FootnoteReference"/>
        </w:rPr>
        <w:footnoteRef/>
      </w:r>
      <w:r>
        <w:t xml:space="preserve"> </w:t>
      </w:r>
      <w:r>
        <w:fldChar w:fldCharType="begin" w:fldLock="1"/>
      </w:r>
      <w:r>
        <w:instrText>ADDIN CSL_CITATION {"citationItems":[{"id":"ITEM-1","itemData":{"DOI":"R117G10002","ISBN":"9788490225370","author":[{"dropping-particle":"","family":"Carpenter","given":"Thomas P.","non-dropping-particle":"","parse-names":false,"suffix":""},{"dropping-particle":"","family":"Fennema","given":"Elizabeth","non-dropping-particle":"","parse-names":false,"suffix":""},{"dropping-particle":"","family":"Fuson","given":"Karen","non-dropping-particle":"","parse-names":false,"suffix":""},{"dropping-particle":"","family":"Hiebert","given":"James","non-dropping-particle":"","parse-names":false,"suffix":""},{"dropping-particle":"","family":"Human","given":"Piet","non-dropping-particle":"","parse-names":false,"suffix":""},{"dropping-particle":"","family":"Murray","given":"Hanlie","non-dropping-particle":"","parse-names":false,"suffix":""},{"dropping-particle":"","family":"Olivier","given":"Alwyn","non-dropping-particle":"","parse-names":false,"suffix":""},{"dropping-particle":"","family":"Wearna","given":"Diana","non-dropping-particle":"","parse-names":false,"suffix":""}],"id":"ITEM-1","issued":{"date-parts":[["1994"]]},"publisher":"The Annual Meeting of the American Educational Research Association","publisher-place":"New Orleans, LA","title":"Teaching Mathematics for Learning with understanding in the Primary Grades","type":"paper-conference"},"uris":["http://www.mendeley.com/documents/?uuid=3d79794f-edf5-415e-80e6-9663ee07b503"]}],"mendeley":{"formattedCitation":"Thomas P. Carpenter and others, ‘Teaching Mathematics for Learning with Understanding in the Primary Grades’ (New Orleans, LA: The Annual Meeting of the American Educational Research Association, 1994) &lt;https://doi.org/R117G10002&gt;.","plainTextFormattedCitation":"Thomas P. Carpenter and others, ‘Teaching Mathematics for Learning with Understanding in the Primary Grades’ (New Orleans, LA: The Annual Meeting of the American Educational Research Association, 1994) .","previouslyFormattedCitation":"Thomas P. Carpenter and others, ‘Teaching Mathematics for Learning with Understanding in the Primary Grades’ (New Orleans, LA: The Annual Meeting of the American Educational Research Association, 1994) &lt;https://doi.org/R117G10002&gt;."},"properties":{"noteIndex":1},"schema":"https://github.com/citation-style-language/schema/raw/master/csl-citation.json"}</w:instrText>
      </w:r>
      <w:r>
        <w:fldChar w:fldCharType="separate"/>
      </w:r>
      <w:r>
        <w:rPr>
          <w:noProof/>
        </w:rPr>
        <w:t>Thomas P. Carpenter and others, ‘Teaching Mathematics for Learning with Understanding in the Primary Grades’ (New Orleans, LA: The Annual Meeting of the American Educational Research Association, 1994) &lt;https://doi.org/R117G10002&gt;.</w:t>
      </w:r>
      <w:r>
        <w:fldChar w:fldCharType="end"/>
      </w:r>
    </w:p>
  </w:footnote>
  <w:footnote w:id="2">
    <w:p w14:paraId="74635816" w14:textId="77777777" w:rsidR="00594D5B" w:rsidRDefault="00594D5B" w:rsidP="00594D5B">
      <w:pPr>
        <w:pStyle w:val="FootnoteText"/>
        <w:jc w:val="both"/>
      </w:pPr>
      <w:r>
        <w:rPr>
          <w:rStyle w:val="FootnoteReference"/>
        </w:rPr>
        <w:footnoteRef/>
      </w:r>
      <w:r>
        <w:t xml:space="preserve"> </w:t>
      </w:r>
      <w:r>
        <w:fldChar w:fldCharType="begin" w:fldLock="1"/>
      </w:r>
      <w:r>
        <w:instrText>ADDIN CSL_CITATION {"citationItems":[{"id":"ITEM-1","itemData":{"ISBN":"0321084055","abstract":"Given the Handbook's longevity and importance, one may reasonably ask Why would anybody tinker with a publication that has such a record? Why is a revi- sion necessary? We have two reasons. First, there is a need to refocus educa- tors' attention on the value of the original Handbook, not only as a historical document but also as one that in many respects was \"ahead of its time\" (Rohwer and Sloane, 1994). We believe that many of the ideas in the Handbook are valuable to today's educators as they struggle with problems associated XXII Preface with the design and implementation of accountability programs, standards- based curriculums, and authentic assessments.","author":[{"dropping-particle":"","family":"Anderson","given":"Lorin W","non-dropping-particle":"","parse-names":false,"suffix":""},{"dropping-particle":"","family":"Krathwohl Peter W Airasian","given":"David R","non-dropping-particle":"","parse-names":false,"suffix":""},{"dropping-particle":"","family":"Cruikshank","given":"Kathleen A","non-dropping-particle":"","parse-names":false,"suffix":""},{"dropping-particle":"","family":"Mayer","given":"Richard E","non-dropping-particle":"","parse-names":false,"suffix":""},{"dropping-particle":"","family":"Pintrich","given":"Paul R","non-dropping-particle":"","parse-names":false,"suffix":""},{"dropping-particle":"","family":"Raths","given":"James","non-dropping-particle":"","parse-names":false,"suffix":""},{"dropping-particle":"","family":"Wittrock","given":"Merlin C","non-dropping-particle":"","parse-names":false,"suffix":""}],"id":"ITEM-1","issued":{"date-parts":[["2001"]]},"publisher":"Addison Wesley Lonman Inc","publisher-place":"New York","title":"A Taxonomy for Learning, Teaching, and Assesing: A revision of Bloom's Taxonomy of Educational Objectives","type":"book"},"uris":["http://www.mendeley.com/documents/?uuid=6c9ca6f3-d655-4585-81f9-6f1948171cf2"]}],"mendeley":{"formattedCitation":"Lorin W Anderson and others, &lt;i&gt;A Taxonomy for Learning, Teaching, and Assesing: A Revision of Bloom’s Taxonomy of Educational Objectives&lt;/i&gt; (New York: Addison Wesley Lonman Inc, 2001) &lt;https://www.uky.edu/~rsand1/china2018/texts/Anderson-Krathwohl - A taxonomy for learning teaching and assessing.pdf&gt;.","plainTextFormattedCitation":"Lorin W Anderson and others, A Taxonomy for Learning, Teaching, and Assesing: A Revision of Bloom’s Taxonomy of Educational Objectives (New York: Addison Wesley Lonman Inc, 2001) .","previouslyFormattedCitation":"Lorin W Anderson and others, &lt;i&gt;A Taxonomy for Learning, Teaching, and Assesing: A Revision of Bloom’s Taxonomy of Educational Objectives&lt;/i&gt; (New York: Addison Wesley Lonman Inc, 2001) &lt;https://www.uky.edu/~rsand1/china2018/texts/Anderson-Krathwohl - A taxonomy for learning teaching and assessing.pdf&gt;."},"properties":{"noteIndex":2},"schema":"https://github.com/citation-style-language/schema/raw/master/csl-citation.json"}</w:instrText>
      </w:r>
      <w:r>
        <w:fldChar w:fldCharType="separate"/>
      </w:r>
      <w:r>
        <w:rPr>
          <w:noProof/>
        </w:rPr>
        <w:t xml:space="preserve">Lorin W Anderson and others, </w:t>
      </w:r>
      <w:r>
        <w:rPr>
          <w:i/>
          <w:noProof/>
        </w:rPr>
        <w:t>A Taxonomy for Learning, Teaching, and Assesing: A Revision of Bloom’s Taxonomy of Educational Objectives</w:t>
      </w:r>
      <w:r>
        <w:rPr>
          <w:noProof/>
        </w:rPr>
        <w:t xml:space="preserve"> (New York: Addison Wesley Lonman Inc, 2001) &lt;https://www.uky.edu/~rsand1/china2018/texts/Anderson-Krathwohl - A taxonomy for learning teaching and assessing.pdf&gt;.</w:t>
      </w:r>
      <w:r>
        <w:fldChar w:fldCharType="end"/>
      </w:r>
    </w:p>
  </w:footnote>
  <w:footnote w:id="3">
    <w:p w14:paraId="22373031" w14:textId="77777777" w:rsidR="00594D5B" w:rsidRDefault="00594D5B" w:rsidP="00594D5B">
      <w:pPr>
        <w:pStyle w:val="FootnoteText"/>
        <w:jc w:val="both"/>
      </w:pPr>
      <w:r>
        <w:rPr>
          <w:rStyle w:val="FootnoteReference"/>
        </w:rPr>
        <w:footnoteRef/>
      </w:r>
      <w:r>
        <w:t xml:space="preserve"> </w:t>
      </w:r>
      <w:r>
        <w:fldChar w:fldCharType="begin" w:fldLock="1"/>
      </w:r>
      <w:r>
        <w:instrText>ADDIN CSL_CITATION {"citationItems":[{"id":"ITEM-1","itemData":{"author":[{"dropping-particle":"","family":"Fanny Adibah","given":"","non-dropping-particle":"","parse-names":false,"suffix":""}],"container-title":"Jurnal Widyaloka IKIP Widya Darma","id":"ITEM-1","issue":"2","issued":{"date-parts":[["2018"]]},"page":"155-172","title":"Penelusuran Konflik Kognitif Mahasiswa dalam Menyelesaikan Masalah Geometri Ditinjau dari Perbedaan Gaya Kognitif Field Dependent dan Field Independent","type":"article-journal","volume":"5"},"uris":["http://www.mendeley.com/documents/?uuid=285e550f-5b64-4190-bf27-27f62884c364"]}],"mendeley":{"formattedCitation":"Fanny Adibah, ‘Penelusuran Konflik Kognitif Mahasiswa Dalam Menyelesaikan Masalah Geometri Ditinjau Dari Perbedaan Gaya Kognitif Field Dependent Dan Field Independent’, &lt;i&gt;Jurnal Widyaloka IKIP Widya Darma&lt;/i&gt;, 5.2 (2018), 155–72.","plainTextFormattedCitation":"Fanny Adibah, ‘Penelusuran Konflik Kognitif Mahasiswa Dalam Menyelesaikan Masalah Geometri Ditinjau Dari Perbedaan Gaya Kognitif Field Dependent Dan Field Independent’, Jurnal Widyaloka IKIP Widya Darma, 5.2 (2018), 155–72.","previouslyFormattedCitation":"Fanny Adibah, ‘Penelusuran Konflik Kognitif Mahasiswa Dalam Menyelesaikan Masalah Geometri Ditinjau Dari Perbedaan Gaya Kognitif Field Dependent Dan Field Independent’, &lt;i&gt;Jurnal Widyaloka IKIP Widya Darma&lt;/i&gt;, 5.2 (2018), 155–72."},"properties":{"noteIndex":5},"schema":"https://github.com/citation-style-language/schema/raw/master/csl-citation.json"}</w:instrText>
      </w:r>
      <w:r>
        <w:fldChar w:fldCharType="separate"/>
      </w:r>
      <w:r>
        <w:rPr>
          <w:noProof/>
        </w:rPr>
        <w:t xml:space="preserve">Fanny Adibah, ‘Penelusuran Konflik Kognitif Mahasiswa Dalam Menyelesaikan Masalah Geometri Ditinjau Dari Perbedaan Gaya Kognitif Field Dependent Dan Field Independent’, </w:t>
      </w:r>
      <w:r>
        <w:rPr>
          <w:i/>
          <w:noProof/>
        </w:rPr>
        <w:t>Jurnal Widyaloka IKIP Widya Darma</w:t>
      </w:r>
      <w:r>
        <w:rPr>
          <w:noProof/>
        </w:rPr>
        <w:t>, 5.2 (2018), 155–72.</w:t>
      </w:r>
      <w:r>
        <w:fldChar w:fldCharType="end"/>
      </w:r>
    </w:p>
  </w:footnote>
  <w:footnote w:id="4">
    <w:p w14:paraId="3A40865E" w14:textId="77777777" w:rsidR="00594D5B" w:rsidRDefault="00594D5B" w:rsidP="00594D5B">
      <w:pPr>
        <w:pStyle w:val="FootnoteText"/>
        <w:jc w:val="both"/>
      </w:pPr>
      <w:r>
        <w:rPr>
          <w:rStyle w:val="FootnoteReference"/>
        </w:rPr>
        <w:footnoteRef/>
      </w:r>
      <w:r>
        <w:t xml:space="preserve"> </w:t>
      </w:r>
      <w:r>
        <w:fldChar w:fldCharType="begin" w:fldLock="1"/>
      </w:r>
      <w:r>
        <w:instrText>ADDIN CSL_CITATION {"citationItems":[{"id":"ITEM-1","itemData":{"abstract":"Cognitive conflict has been used as an effective teaching method since the 1980s, although the effects of this method are unclear. According to some researchers, cognitive conflict does not consistently lead to conceptual change. This paper describes a study investigating answers for the questions, What is the definition of cognitive conflict in learning?, and How it is aroused? and discusses the implications of the study in education. The study involved (n=4) 10th grade students in Korea. It is concluded that that cognitive conflict has four psychological constructs and is a perceptual state. (Contains 48 references.) (Author/YDS)","author":[{"dropping-particle":"","family":"Lee","given":"Gyoungho","non-dropping-particle":"","parse-names":false,"suffix":""},{"dropping-particle":"","family":"Kwon","given":"Jaesool","non-dropping-particle":"","parse-names":false,"suffix":""}],"container-title":"Proceedings of 2001 AETS Annual meeting","id":"ITEM-1","issued":{"date-parts":[["2001"]]},"page":"309-325","title":"What Do We Know about Students' Cognitive Conflict in Science Classroom: A Theoretical Model of Cognitive Conflict Process.","type":"article-journal"},"uris":["http://www.mendeley.com/documents/?uuid=643ab42a-eeba-41f0-9ec6-4a7d0fd1e16b"]}],"mendeley":{"formattedCitation":"Gyoungho Lee and Jaesool Kwon, ‘What Do We Know about Students’ Cognitive Conflict in Science Classroom: A Theoretical Model of Cognitive Conflict Process.’, &lt;i&gt;Proceedings of 2001 AETS Annual Meeting&lt;/i&gt;, 2001, 309–25.","plainTextFormattedCitation":"Gyoungho Lee and Jaesool Kwon, ‘What Do We Know about Students’ Cognitive Conflict in Science Classroom: A Theoretical Model of Cognitive Conflict Process.’, Proceedings of 2001 AETS Annual Meeting, 2001, 309–25.","previouslyFormattedCitation":"Gyoungho Lee and Jaesool Kwon, ‘What Do We Know about Students’ Cognitive Conflict in Science Classroom: A Theoretical Model of Cognitive Conflict Process.’, &lt;i&gt;Proceedings of 2001 AETS Annual Meeting&lt;/i&gt;, 2001, 309–25."},"properties":{"noteIndex":6},"schema":"https://github.com/citation-style-language/schema/raw/master/csl-citation.json"}</w:instrText>
      </w:r>
      <w:r>
        <w:fldChar w:fldCharType="separate"/>
      </w:r>
      <w:r>
        <w:rPr>
          <w:noProof/>
        </w:rPr>
        <w:t xml:space="preserve">Gyoungho Lee and Jaesool Kwon, ‘What Do We Know about Students’ Cognitive Conflict in Science Classroom: A Theoretical Model of Cognitive Conflict Process.’, </w:t>
      </w:r>
      <w:r>
        <w:rPr>
          <w:i/>
          <w:noProof/>
        </w:rPr>
        <w:t>Proceedings of 2001 AETS Annual Meeting</w:t>
      </w:r>
      <w:r>
        <w:rPr>
          <w:noProof/>
        </w:rPr>
        <w:t>, 2001, 309–25.</w:t>
      </w:r>
      <w:r>
        <w:fldChar w:fldCharType="end"/>
      </w:r>
    </w:p>
  </w:footnote>
  <w:footnote w:id="5">
    <w:p w14:paraId="586F9153" w14:textId="77777777" w:rsidR="00594D5B" w:rsidRDefault="00594D5B" w:rsidP="00594D5B">
      <w:pPr>
        <w:pStyle w:val="FootnoteText"/>
      </w:pPr>
      <w:r>
        <w:rPr>
          <w:rStyle w:val="FootnoteReference"/>
        </w:rPr>
        <w:footnoteRef/>
      </w:r>
      <w:r>
        <w:t xml:space="preserve"> </w:t>
      </w:r>
      <w:r>
        <w:fldChar w:fldCharType="begin" w:fldLock="1"/>
      </w:r>
      <w:r>
        <w:instrText>ADDIN CSL_CITATION {"citationItems":[{"id":"ITEM-1","itemData":{"DOI":"10.1063/5.0043400","ISBN":"9780735440746","ISSN":"15517616","abstract":"Science learning is closely related to scientific concepts. A misconception is the most important aspect in science learning activities. Cognitive conflict is a condition where there is a mismatch between the cognitive structures that a person has with information that has just been obtained from outside. Uncertainty, doubt, confusion, contradiction, contrary to what is on his mind, are signs of cognitive conflict. This research aimed at revealing the influence of cognitive conflict instruction on students' understanding of heat concept at five schools in Lamongan; SMP negeri 1 Pucuk, SMP Negeri 1 Lamongan, SMP Negeri 3 Lamongan, SMP Negeri 1 Sukodadi dan SMP Negeri 2 Sukodadi. Wrong misconceptions of the concept will have a negative impact on subsequent scientific concepts, so it needs treatment to avoid it more and more misconceptions. The misconception will result in students experiencing repeated errors for concepts at the next level. This study aims to describe students' misconceptions about the heat material in class VII Junior High School. The data collection tool in this research was in the form of optional diagnostic tests double with four alternative answers, open reasons, accompanied by a level of confidence. Research result showed that there is a misconception in the understanding of heat material that is equal to 40%. Many students' misconceptions occur in concepts related to the relationship between temperatures with heat changes in the form of substances.","author":[{"dropping-particle":"","family":"Haryono","given":"Heny Ekawati","non-dropping-particle":"","parse-names":false,"suffix":""},{"dropping-particle":"","family":"Aini","given":"Khafidhoh Nurul","non-dropping-particle":"","parse-names":false,"suffix":""},{"dropping-particle":"","family":"Samsudin","given":"Achmad","non-dropping-particle":"","parse-names":false,"suffix":""},{"dropping-particle":"","family":"Siahaan","given":"Parsaoran","non-dropping-particle":"","parse-names":false,"suffix":""}],"container-title":"AIP Conference Proceedings","id":"ITEM-1","issue":"March","issued":{"date-parts":[["2021"]]},"title":"Reducing the students' misconceptions on the theory of heat through cognitive conflict instruction (CCI)","type":"article-journal","volume":"2330"},"uris":["http://www.mendeley.com/documents/?uuid=36d3c3d0-5150-4cfa-b727-9a06ccf0529b"]}],"mendeley":{"formattedCitation":"Heny Ekawati Haryono and others, ‘Reducing the Students’ Misconceptions on the Theory of Heat through Cognitive Conflict Instruction (CCI)’, &lt;i&gt;AIP Conference Proceedings&lt;/i&gt;, 2330.March (2021) &lt;https://doi.org/10.1063/5.0043400&gt;.","plainTextFormattedCitation":"Heny Ekawati Haryono and others, ‘Reducing the Students’ Misconceptions on the Theory of Heat through Cognitive Conflict Instruction (CCI)’, AIP Conference Proceedings, 2330.March (2021) .","previouslyFormattedCitation":"Heny Ekawati Haryono and others, ‘Reducing the Students’ Misconceptions on the Theory of Heat through Cognitive Conflict Instruction (CCI)’, &lt;i&gt;AIP Conference Proceedings&lt;/i&gt;, 2330.March (2021) &lt;https://doi.org/10.1063/5.0043400&gt;."},"properties":{"noteIndex":7},"schema":"https://github.com/citation-style-language/schema/raw/master/csl-citation.json"}</w:instrText>
      </w:r>
      <w:r>
        <w:fldChar w:fldCharType="separate"/>
      </w:r>
      <w:r>
        <w:rPr>
          <w:noProof/>
        </w:rPr>
        <w:t xml:space="preserve">Heny Ekawati Haryono and others, ‘Reducing the Students’ Misconceptions on the Theory of Heat through Cognitive Conflict Instruction (CCI)’, </w:t>
      </w:r>
      <w:r>
        <w:rPr>
          <w:i/>
          <w:noProof/>
        </w:rPr>
        <w:t>AIP Conference Proceedings</w:t>
      </w:r>
      <w:r>
        <w:rPr>
          <w:noProof/>
        </w:rPr>
        <w:t>, 2330.March (2021) &lt;https://doi.org/10.1063/5.0043400&gt;.</w:t>
      </w:r>
      <w:r>
        <w:fldChar w:fldCharType="end"/>
      </w:r>
    </w:p>
  </w:footnote>
  <w:footnote w:id="6">
    <w:p w14:paraId="4B26FA70" w14:textId="77777777" w:rsidR="00594D5B" w:rsidRDefault="00594D5B" w:rsidP="00594D5B">
      <w:pPr>
        <w:pStyle w:val="FootnoteText"/>
      </w:pPr>
      <w:r>
        <w:rPr>
          <w:rStyle w:val="FootnoteReference"/>
        </w:rPr>
        <w:footnoteRef/>
      </w:r>
      <w:r>
        <w:t xml:space="preserve"> </w:t>
      </w:r>
      <w:r>
        <w:fldChar w:fldCharType="begin" w:fldLock="1"/>
      </w:r>
      <w:r>
        <w:instrText>ADDIN CSL_CITATION {"citationItems":[{"id":"ITEM-1","itemData":{"DOI":"10.12973/iejme/2697","abstract":"The purpose of the research is to describe and analyze the implementation of Scaffolding based on Cognitive Conflict in correcting the students’ errors in Algebra material. The research uses Mix Method, that is a combination of quantitative and qualitative methods. There are 25 students that are involved and tested on Algebra material. They are collected from the Second Grade Students of Junior High Schools in Malang. The quantitative data are collected through essay test, while the qualitative data are collected through interview and observation. The findings of the research are: (1) Cognitive Conflict can increase the students’ reasoning ability, (2) Scaffolding is required to overcome the students’ errors based on their Cognitive Conflict, (3) Cogtnitive Conflict needs to be improved in the classroom learning.","author":[{"dropping-particle":"","family":"Maharani","given":"Indah Puspitasari","non-dropping-particle":"","parse-names":false,"suffix":""},{"dropping-particle":"","family":"Subanji","given":"Subanji","non-dropping-particle":"","parse-names":false,"suffix":""}],"container-title":"International Electronic Journal of Mathematics Education","id":"ITEM-1","issue":"2","issued":{"date-parts":[["2018"]]},"page":"67-74","title":"Scaffolding Based on Cognitive Conflict in Correcting the Students’ Algebra Errors","type":"article-journal","volume":"13"},"uris":["http://www.mendeley.com/documents/?uuid=14ad3add-9030-404d-83f0-2279bb65a937"]}],"mendeley":{"formattedCitation":"Indah Puspitasari Maharani and Subanji Subanji, ‘Scaffolding Based on Cognitive Conflict in Correcting the Students’ Algebra Errors’, &lt;i&gt;International Electronic Journal of Mathematics Education&lt;/i&gt;, 13.2 (2018), 67–74 &lt;https://doi.org/10.12973/iejme/2697&gt;.","plainTextFormattedCitation":"Indah Puspitasari Maharani and Subanji Subanji, ‘Scaffolding Based on Cognitive Conflict in Correcting the Students’ Algebra Errors’, International Electronic Journal of Mathematics Education, 13.2 (2018), 67–74 .","previouslyFormattedCitation":"Indah Puspitasari Maharani and Subanji Subanji, ‘Scaffolding Based on Cognitive Conflict in Correcting the Students’ Algebra Errors’, &lt;i&gt;International Electronic Journal of Mathematics Education&lt;/i&gt;, 13.2 (2018), 67–74 &lt;https://doi.org/10.12973/iejme/2697&gt;."},"properties":{"noteIndex":8},"schema":"https://github.com/citation-style-language/schema/raw/master/csl-citation.json"}</w:instrText>
      </w:r>
      <w:r>
        <w:fldChar w:fldCharType="separate"/>
      </w:r>
      <w:r>
        <w:rPr>
          <w:noProof/>
        </w:rPr>
        <w:t xml:space="preserve">Indah Puspitasari Maharani and Subanji Subanji, ‘Scaffolding Based on Cognitive Conflict in Correcting the Students’ Algebra Errors’, </w:t>
      </w:r>
      <w:r>
        <w:rPr>
          <w:i/>
          <w:noProof/>
        </w:rPr>
        <w:t>International Electronic Journal of Mathematics Education</w:t>
      </w:r>
      <w:r>
        <w:rPr>
          <w:noProof/>
        </w:rPr>
        <w:t>, 13.2 (2018), 67–74 &lt;https://doi.org/10.12973/iejme/2697&gt;.</w:t>
      </w:r>
      <w:r>
        <w:fldChar w:fldCharType="end"/>
      </w:r>
    </w:p>
  </w:footnote>
  <w:footnote w:id="7">
    <w:p w14:paraId="316279FF" w14:textId="77777777" w:rsidR="00594D5B" w:rsidRDefault="00594D5B" w:rsidP="00594D5B">
      <w:pPr>
        <w:pStyle w:val="FootnoteText"/>
        <w:jc w:val="both"/>
      </w:pPr>
      <w:r>
        <w:rPr>
          <w:rStyle w:val="FootnoteReference"/>
        </w:rPr>
        <w:footnoteRef/>
      </w:r>
      <w:r>
        <w:t xml:space="preserve"> </w:t>
      </w:r>
      <w:r>
        <w:fldChar w:fldCharType="begin" w:fldLock="1"/>
      </w:r>
      <w:r>
        <w:instrText>ADDIN CSL_CITATION {"citationItems":[{"id":"ITEM-1","itemData":{"author":[{"dropping-particle":"V.","family":"Bordrakova","given":"W.","non-dropping-particle":"","parse-names":false,"suffix":""}],"id":"ITEM-1","issued":{"date-parts":[["1988"]]},"publisher":"University of New York","title":"The role of external and cognitive conflict in childrens conservation learning.","type":"thesis"},"uris":["http://www.mendeley.com/documents/?uuid=65b9d1c7-34a1-4f30-929b-b79772055c70"]}],"mendeley":{"formattedCitation":"W. V. Bordrakova, ‘The Role of External and Cognitive Conflict in Childrens Conservation Learning.’ (University of New York, 1988).","plainTextFormattedCitation":"W. V. Bordrakova, ‘The Role of External and Cognitive Conflict in Childrens Conservation Learning.’ (University of New York, 1988).","previouslyFormattedCitation":"W. V. Bordrakova, ‘The Role of External and Cognitive Conflict in Childrens Conservation Learning.’ (University of New York, 1988)."},"properties":{"noteIndex":9},"schema":"https://github.com/citation-style-language/schema/raw/master/csl-citation.json"}</w:instrText>
      </w:r>
      <w:r>
        <w:fldChar w:fldCharType="separate"/>
      </w:r>
      <w:r>
        <w:rPr>
          <w:noProof/>
        </w:rPr>
        <w:t>W. V. Bordrakova, ‘The Role of External and Cognitive Conflict in Childrens Conservation Learning.’ (University of New York, 1988).</w:t>
      </w:r>
      <w:r>
        <w:fldChar w:fldCharType="end"/>
      </w:r>
    </w:p>
  </w:footnote>
  <w:footnote w:id="8">
    <w:p w14:paraId="29EF0747" w14:textId="77777777" w:rsidR="00594D5B" w:rsidRDefault="00594D5B" w:rsidP="00594D5B">
      <w:pPr>
        <w:pStyle w:val="FootnoteText"/>
      </w:pPr>
      <w:r>
        <w:rPr>
          <w:rStyle w:val="FootnoteReference"/>
        </w:rPr>
        <w:footnoteRef/>
      </w:r>
      <w:r>
        <w:t xml:space="preserve"> </w:t>
      </w:r>
      <w:r>
        <w:fldChar w:fldCharType="begin" w:fldLock="1"/>
      </w:r>
      <w:r>
        <w:instrText>ADDIN CSL_CITATION {"citationItems":[{"id":"ITEM-1","itemData":{"author":[{"dropping-particle":"","family":"Sari","given":"Anita","non-dropping-particle":"","parse-names":false,"suffix":""}],"container-title":"Histogram: Jurnal Pendidikan Matematika","id":"ITEM-1","issue":"2","issued":{"date-parts":[["2020"]]},"page":"545-564","title":"Profil Konflik Kognitif dengan Intervensi dalam Pemahaman Aljabar Mahasiswa Politani Pangkep","type":"article-journal","volume":"4"},"uris":["http://www.mendeley.com/documents/?uuid=4e8da7a9-63be-4ad5-b35f-cee75ea57754"]}],"mendeley":{"formattedCitation":"Anita Sari, ‘Profil Konflik Kognitif Dengan Intervensi Dalam Pemahaman Aljabar Mahasiswa Politani Pangkep’, &lt;i&gt;Histogram: Jurnal Pendidikan Matematika&lt;/i&gt;, 4.2 (2020), 545–64.","plainTextFormattedCitation":"Anita Sari, ‘Profil Konflik Kognitif Dengan Intervensi Dalam Pemahaman Aljabar Mahasiswa Politani Pangkep’, Histogram: Jurnal Pendidikan Matematika, 4.2 (2020), 545–64.","previouslyFormattedCitation":"Anita Sari, ‘Profil Konflik Kognitif Dengan Intervensi Dalam Pemahaman Aljabar Mahasiswa Politani Pangkep’, &lt;i&gt;Histogram: Jurnal Pendidikan Matematika&lt;/i&gt;, 4.2 (2020), 545–64."},"properties":{"noteIndex":10},"schema":"https://github.com/citation-style-language/schema/raw/master/csl-citation.json"}</w:instrText>
      </w:r>
      <w:r>
        <w:fldChar w:fldCharType="separate"/>
      </w:r>
      <w:r>
        <w:rPr>
          <w:noProof/>
        </w:rPr>
        <w:t xml:space="preserve">Anita Sari, ‘Profil Konflik Kognitif Dengan Intervensi Dalam Pemahaman Aljabar Mahasiswa Politani Pangkep’, </w:t>
      </w:r>
      <w:r>
        <w:rPr>
          <w:i/>
          <w:noProof/>
        </w:rPr>
        <w:t>Histogram: Jurnal Pendidikan Matematika</w:t>
      </w:r>
      <w:r>
        <w:rPr>
          <w:noProof/>
        </w:rPr>
        <w:t>, 4.2 (2020), 545–64.</w:t>
      </w:r>
      <w:r>
        <w:fldChar w:fldCharType="end"/>
      </w:r>
    </w:p>
  </w:footnote>
  <w:footnote w:id="9">
    <w:p w14:paraId="1BE62506" w14:textId="77777777" w:rsidR="00594D5B" w:rsidRDefault="00594D5B" w:rsidP="00594D5B">
      <w:pPr>
        <w:pStyle w:val="FootnoteText"/>
      </w:pPr>
      <w:r>
        <w:rPr>
          <w:rStyle w:val="FootnoteReference"/>
        </w:rPr>
        <w:footnoteRef/>
      </w:r>
      <w:r>
        <w:t xml:space="preserve"> </w:t>
      </w:r>
      <w:r>
        <w:fldChar w:fldCharType="begin" w:fldLock="1"/>
      </w:r>
      <w:r>
        <w:instrText>ADDIN CSL_CITATION {"citationItems":[{"id":"ITEM-1","itemData":{"DOI":"10.1002/tea.10099","ISSN":"00224308","abstract":"Based on conceptual change theory, cognitive conflict is known as an important factor in conceptual change even though there are still questions about its positive and negative effects on science learning. However, there is no reliable method by which to assess the cognitive conflict students experience in their learning. The purpose of this research was to develop an instrument for measuring secondary students' cognitive conflict levels as they learned science. The results of this study indicate that our instrument is a valid and reliable tool for measuring cognitive conflict levels. Factor analysis supported the model that cognitive conflict consists of four constructs: recognition of an anomalous situation, interest, anxiety, and cognitive reappraisal of the conflict situation. Implications for instruction and possibilities for future research are discussed.","author":[{"dropping-particle":"","family":"Lee","given":"Gyoungho","non-dropping-particle":"","parse-names":false,"suffix":""},{"dropping-particle":"","family":"Kwon","given":"Jaesool","non-dropping-particle":"","parse-names":false,"suffix":""},{"dropping-particle":"","family":"Park","given":"Sang Suk","non-dropping-particle":"","parse-names":false,"suffix":""},{"dropping-particle":"","family":"Kim","given":"Jung Whan","non-dropping-particle":"","parse-names":false,"suffix":""},{"dropping-particle":"","family":"Kwon","given":"Hyeok Gu","non-dropping-particle":"","parse-names":false,"suffix":""},{"dropping-particle":"","family":"Park","given":"Hac Kyoo","non-dropping-particle":"","parse-names":false,"suffix":""}],"container-title":"Journal of Research in Science Teaching","id":"ITEM-1","issue":"6","issued":{"date-parts":[["2003"]]},"page":"585-603","title":"Development of an instrument for measuring cognitive conflict in secondary-level science classes","type":"article-journal","volume":"40"},"uris":["http://www.mendeley.com/documents/?uuid=74024c68-8128-472d-946e-eb90073fb0b8"]}],"mendeley":{"formattedCitation":"Gyoungho Lee and others, ‘Development of an Instrument for Measuring Cognitive Conflict in Secondary-Level Science Classes’, &lt;i&gt;Journal of Research in Science Teaching&lt;/i&gt;, 40.6 (2003), 585–603 &lt;https://doi.org/10.1002/tea.10099&gt;.","plainTextFormattedCitation":"Gyoungho Lee and others, ‘Development of an Instrument for Measuring Cognitive Conflict in Secondary-Level Science Classes’, Journal of Research in Science Teaching, 40.6 (2003), 585–603 .","previouslyFormattedCitation":"Gyoungho Lee and others, ‘Development of an Instrument for Measuring Cognitive Conflict in Secondary-Level Science Classes’, &lt;i&gt;Journal of Research in Science Teaching&lt;/i&gt;, 40.6 (2003), 585–603 &lt;https://doi.org/10.1002/tea.10099&gt;."},"properties":{"noteIndex":12},"schema":"https://github.com/citation-style-language/schema/raw/master/csl-citation.json"}</w:instrText>
      </w:r>
      <w:r>
        <w:fldChar w:fldCharType="separate"/>
      </w:r>
      <w:r>
        <w:rPr>
          <w:noProof/>
        </w:rPr>
        <w:t xml:space="preserve">Gyoungho Lee and others, ‘Development of an Instrument for Measuring Cognitive Conflict in Secondary-Level Science Classes’, </w:t>
      </w:r>
      <w:r>
        <w:rPr>
          <w:i/>
          <w:noProof/>
        </w:rPr>
        <w:t>Journal of Research in Science Teaching</w:t>
      </w:r>
      <w:r>
        <w:rPr>
          <w:noProof/>
        </w:rPr>
        <w:t>, 40.6 (2003), 585–603 &lt;https://doi.org/10.1002/tea.10099&gt;.</w:t>
      </w:r>
      <w:r>
        <w:fldChar w:fldCharType="end"/>
      </w:r>
    </w:p>
  </w:footnote>
  <w:footnote w:id="10">
    <w:p w14:paraId="400F8095" w14:textId="77777777" w:rsidR="00594D5B" w:rsidRDefault="00594D5B" w:rsidP="00594D5B">
      <w:pPr>
        <w:pStyle w:val="FootnoteText"/>
        <w:jc w:val="both"/>
      </w:pPr>
      <w:r>
        <w:rPr>
          <w:rStyle w:val="FootnoteReference"/>
        </w:rPr>
        <w:footnoteRef/>
      </w:r>
      <w:r>
        <w:t xml:space="preserve"> </w:t>
      </w:r>
      <w:r>
        <w:fldChar w:fldCharType="begin" w:fldLock="1"/>
      </w:r>
      <w:r>
        <w:instrText>ADDIN CSL_CITATION {"citationItems":[{"id":"ITEM-1","itemData":{"DOI":"10.1007/3-540-44963-9","ISBN":"978-3-540-40381-4","author":[{"dropping-particle":"","family":"Stacey","given":"K.","non-dropping-particle":"","parse-names":false,"suffix":""},{"dropping-particle":"","family":"Sonenberg","given":"E.","non-dropping-particle":"","parse-names":false,"suffix":""},{"dropping-particle":"","family":"Nicholson","given":"A.","non-dropping-particle":"","parse-names":false,"suffix":""},{"dropping-particle":"","family":"Bonch","given":"T.","non-dropping-particle":"","parse-names":false,"suffix":""},{"dropping-particle":"","family":"Steinle","given":"V.","non-dropping-particle":"","parse-names":false,"suffix":""}],"container-title":"Bayesian Network: University of Melbourne","id":"ITEM-1","issue":"June","issued":{"date-parts":[["2003"]]},"page":"163-167","title":"A Teaching of a Model Exploiting Cognitive Conflict","type":"article-journal"},"uris":["http://www.mendeley.com/documents/?uuid=04982dc1-481f-4f2e-953d-3d157fb2c50c"]}],"mendeley":{"formattedCitation":"K. Stacey and others, ‘A Teaching of a Model Exploiting Cognitive Conflict’, &lt;i&gt;Bayesian Network: University of Melbourne&lt;/i&gt;, June, 2003, 163–67 &lt;https://doi.org/10.1007/3-540-44963-9&gt;.","plainTextFormattedCitation":"K. Stacey and others, ‘A Teaching of a Model Exploiting Cognitive Conflict’, Bayesian Network: University of Melbourne, June, 2003, 163–67 .","previouslyFormattedCitation":"K. Stacey and others, ‘A Teaching of a Model Exploiting Cognitive Conflict’, &lt;i&gt;Bayesian Network: University of Melbourne&lt;/i&gt;, June, 2003, 163–67 &lt;https://doi.org/10.1007/3-540-44963-9&gt;."},"properties":{"noteIndex":13},"schema":"https://github.com/citation-style-language/schema/raw/master/csl-citation.json"}</w:instrText>
      </w:r>
      <w:r>
        <w:fldChar w:fldCharType="separate"/>
      </w:r>
      <w:r>
        <w:rPr>
          <w:noProof/>
        </w:rPr>
        <w:t xml:space="preserve">K. Stacey and others, ‘A Teaching of a Model Exploiting Cognitive Conflict’, </w:t>
      </w:r>
      <w:r>
        <w:rPr>
          <w:i/>
          <w:noProof/>
        </w:rPr>
        <w:t>Bayesian Network: University of Melbourne</w:t>
      </w:r>
      <w:r>
        <w:rPr>
          <w:noProof/>
        </w:rPr>
        <w:t>, June, 2003, 163–67 &lt;https://doi.org/10.1007/3-540-44963-9&gt;.</w:t>
      </w:r>
      <w:r>
        <w:fldChar w:fldCharType="end"/>
      </w:r>
    </w:p>
  </w:footnote>
  <w:footnote w:id="11">
    <w:p w14:paraId="2DC49AB6" w14:textId="77777777" w:rsidR="00594D5B" w:rsidRDefault="00594D5B" w:rsidP="00594D5B">
      <w:pPr>
        <w:pStyle w:val="FootnoteText"/>
        <w:jc w:val="both"/>
      </w:pPr>
      <w:r>
        <w:rPr>
          <w:rStyle w:val="FootnoteReference"/>
        </w:rPr>
        <w:footnoteRef/>
      </w:r>
      <w:r>
        <w:t xml:space="preserve"> </w:t>
      </w:r>
      <w:r>
        <w:fldChar w:fldCharType="begin" w:fldLock="1"/>
      </w:r>
      <w:r>
        <w:instrText>ADDIN CSL_CITATION {"citationItems":[{"id":"ITEM-1","itemData":{"ISBN":"978-0-494-40704-2","abstract":"This study examines the effect of cognitive conflict interventions on high school students' understanding of algebra. The concepts of algebra can be conceived of as both processes to carry out, and objects that can be used in higher processes. I examine this double nature with reference to several epistemological frameworks and describe a conceptual divide between procedural and structural understanding. I formulated a system to analyze student understanding and developed cognitive conflict instruments intended to promote structural understanding. Both the system and instrument involve questions that contain 'procedural traps'. I carried out interventions and tested the students for any change in understanding. The majority of the students had a procedural understanding before the interventions, and a structural understanding afterwards. I concluded that cognitive conflict interventions could effect a significant advance to structural understanding on the part of a majority of the students, but were not effective with the weakest students.    Keywords. cognitive conflict; procedural trap; structural understanding; high school algebra   Subject terms. Mathematics-study and teaching research; Mathematics-study and teaching-secondary British Columbia; Mathematics-study and teaching-psychological aspects; cognition in children","author":[{"dropping-particle":"","family":"Fraser","given":"Duncan","non-dropping-particle":"","parse-names":false,"suffix":""}],"container-title":"ProQuest Dissertations and Theses","id":"ITEM-1","issued":{"date-parts":[["2007"]]},"page":"174","title":"Using cognitive conflict to promote a structural understanding of grade 11 algebra","type":"article-journal"},"uris":["http://www.mendeley.com/documents/?uuid=b209b25b-4bae-4cd9-b5f7-267f20f7f588"]}],"mendeley":{"formattedCitation":"Duncan Fraser, ‘Using Cognitive Conflict to Promote a Structural Understanding of Grade 11 Algebra’, &lt;i&gt;ProQuest Dissertations and Theses&lt;/i&gt;, 2007, 174 &lt;https://search.proquest.com/dissertations-theses/using-cognitive-conflict-promote-structural/docview/304720957/se-2?accountid=13042%0Ahttp://oxfordsfx.hosted.exlibrisgroup.com/oxford?url_ver=Z39.88-2004&amp;rft_val_fmt=info:ofi/fmt:kev:mtx:dissertation&amp;genre=&gt;.","plainTextFormattedCitation":"Duncan Fraser, ‘Using Cognitive Conflict to Promote a Structural Understanding of Grade 11 Algebra’, ProQuest Dissertations and Theses, 2007, 174 .","previouslyFormattedCitation":"Duncan Fraser, ‘Using Cognitive Conflict to Promote a Structural Understanding of Grade 11 Algebra’, &lt;i&gt;ProQuest Dissertations and Theses&lt;/i&gt;, 2007, 174 &lt;https://search.proquest.com/dissertations-theses/using-cognitive-conflict-promote-structural/docview/304720957/se-2?accountid=13042%0Ahttp://oxfordsfx.hosted.exlibrisgroup.com/oxford?url_ver=Z39.88-2004&amp;rft_val_fmt=info:ofi/fmt:kev:mtx:dissertation&amp;genre=&gt;."},"properties":{"noteIndex":14},"schema":"https://github.com/citation-style-language/schema/raw/master/csl-citation.json"}</w:instrText>
      </w:r>
      <w:r>
        <w:fldChar w:fldCharType="separate"/>
      </w:r>
      <w:r>
        <w:rPr>
          <w:noProof/>
        </w:rPr>
        <w:t xml:space="preserve">Duncan Fraser, ‘Using Cognitive Conflict to Promote a Structural Understanding of Grade 11 Algebra’, </w:t>
      </w:r>
      <w:r>
        <w:rPr>
          <w:i/>
          <w:noProof/>
        </w:rPr>
        <w:t>ProQuest Dissertations and Theses</w:t>
      </w:r>
      <w:r>
        <w:rPr>
          <w:noProof/>
        </w:rPr>
        <w:t>, 2007, 174 &lt;https://search.proquest.com/dissertations-theses/using-cognitive-conflict-promote-structural/docview/304720957/se-2?accountid=13042%0Ahttp://oxfordsfx.hosted.exlibrisgroup.com/oxford?url_ver=Z39.88-2004&amp;rft_val_fmt=info:ofi/fmt:kev:mtx:dissertation&amp;genre=&gt;.</w:t>
      </w:r>
      <w:r>
        <w:fldChar w:fldCharType="end"/>
      </w:r>
    </w:p>
  </w:footnote>
  <w:footnote w:id="12">
    <w:p w14:paraId="6A701600" w14:textId="77777777" w:rsidR="00594D5B" w:rsidRDefault="00594D5B" w:rsidP="00594D5B">
      <w:pPr>
        <w:pStyle w:val="FootnoteText"/>
        <w:jc w:val="both"/>
      </w:pPr>
      <w:r>
        <w:rPr>
          <w:rStyle w:val="FootnoteReference"/>
        </w:rPr>
        <w:footnoteRef/>
      </w:r>
      <w:r>
        <w:t xml:space="preserve"> </w:t>
      </w:r>
      <w:r>
        <w:fldChar w:fldCharType="begin" w:fldLock="1"/>
      </w:r>
      <w:r>
        <w:instrText>ADDIN CSL_CITATION {"citationItems":[{"id":"ITEM-1","itemData":{"abstract":"Cognitive conflict has been used as an effective teaching method since the 1980s, although the effects of this method are unclear. According to some researchers, cognitive conflict does not consistently lead to conceptual change. This paper describes a study investigating answers for the questions, What is the definition of cognitive conflict in learning?, and How it is aroused? and discusses the implications of the study in education. The study involved (n=4) 10th grade students in Korea. It is concluded that that cognitive conflict has four psychological constructs and is a perceptual state. (Contains 48 references.) (Author/YDS)","author":[{"dropping-particle":"","family":"Lee","given":"Gyoungho","non-dropping-particle":"","parse-names":false,"suffix":""},{"dropping-particle":"","family":"Kwon","given":"Jaesool","non-dropping-particle":"","parse-names":false,"suffix":""}],"container-title":"Proceedings of 2001 AETS Annual meeting","id":"ITEM-1","issued":{"date-parts":[["2001"]]},"page":"309-325","title":"What Do We Know about Students' Cognitive Conflict in Science Classroom: A Theoretical Model of Cognitive Conflict Process.","type":"article-journal"},"uris":["http://www.mendeley.com/documents/?uuid=643ab42a-eeba-41f0-9ec6-4a7d0fd1e16b"]}],"mendeley":{"formattedCitation":"Lee and Kwon.","plainTextFormattedCitation":"Lee and Kwon.","previouslyFormattedCitation":"Lee and Kwon."},"properties":{"noteIndex":15},"schema":"https://github.com/citation-style-language/schema/raw/master/csl-citation.json"}</w:instrText>
      </w:r>
      <w:r>
        <w:fldChar w:fldCharType="separate"/>
      </w:r>
      <w:r>
        <w:rPr>
          <w:noProof/>
        </w:rPr>
        <w:t>Lee and Kwon.</w:t>
      </w:r>
      <w:r>
        <w:fldChar w:fldCharType="end"/>
      </w:r>
    </w:p>
  </w:footnote>
  <w:footnote w:id="13">
    <w:p w14:paraId="6908EEB1" w14:textId="77777777" w:rsidR="00594D5B" w:rsidRDefault="00594D5B" w:rsidP="00594D5B">
      <w:pPr>
        <w:pStyle w:val="FootnoteText"/>
      </w:pPr>
      <w:r>
        <w:rPr>
          <w:rStyle w:val="FootnoteReference"/>
        </w:rPr>
        <w:footnoteRef/>
      </w:r>
      <w:r>
        <w:t xml:space="preserve"> </w:t>
      </w:r>
      <w:r>
        <w:fldChar w:fldCharType="begin" w:fldLock="1"/>
      </w:r>
      <w:r>
        <w:instrText>ADDIN CSL_CITATION {"citationItems":[{"id":"ITEM-1","itemData":{"abstract":"Penelitian ini bertujuan untuk mengetahui pemahaman konsep siswa pada masing- masing kelompok motivasi belajar terhadap materi persamaan lingkaran.Penelitian ini merupakan penelitian deskriptif kualitatif yang menggunakan metode observasi, angket, dan wawancara berbasis tugas. Subjek dalam penelitian ini adalah siswa kelas XII SMA Negeri 6 Surakarta yang berjumlah 6 siswa. Identifikasi tingkat pemahaman konsep siswa sesuai yang dikemukakan Kolomuҫ &amp; Tekin, yaitu: memahami konsep, memahami konsep sebagian, memahami konsep sebagian dengan miskonsepsi, miskonsepsi, dan tidak memahami. Hasil penelitian ini menunjukkan bahwa: (1) pada konsep titik pusat lingkaran, jari-jari lingkaran, dan garis singgung lingkaran, siswa pada kelompok motivasi belajar tinggi mencapai tingkat pemahaman memahami,sedangkan pada konsep persamaan lingkaran dan diskriminan siswa mencapai tingkat pemahaman memahami sebagian; (2) pada konsep jari-jari lingkaran siswa pada kelompok motivasi sedang mencapai tingkat pemahaman memahami konsep, pada konsep titik pusat lingkaran dan diskriminan, siswa mencapai tingkat pemahaman memahami sebagian,sedangkan pada konsep persamaan lingkaran dan persamaan garis singgung lingkaran siswa mencapai tingkat pemahaman memahami sebagian dengan miskonsepsi;(3) pada konsep titik pusat lingkaran siswa pada kelompok motivasi belajar rendah mencapai tingkat pemahaman memahami,sedangkan pada konsep jari-jari, persamaan lingkaran, persamaan garis singgung lingkaran, dan diskriminan siswa mencapai tingkat pemahaman memahami sebagian dengan miskonsepsi.","author":[{"dropping-particle":"","family":"Maulida","given":"Farrisa Ovira","non-dropping-particle":"","parse-names":false,"suffix":""},{"dropping-particle":"","family":"Mardiyana","given":"","non-dropping-particle":"","parse-names":false,"suffix":""},{"dropping-particle":"","family":"Pramudya","given":"Ikrar","non-dropping-particle":"","parse-names":false,"suffix":""}],"container-title":"Jurnal Pendidikan Matematika dan Matematika","id":"ITEM-1","issue":"4","issued":{"date-parts":[["2017"]]},"page":"26-45","title":"Analisis Pemahaman Konsep Siswa Pada Materi Persamaan Lingkaran DItijau Dari Motivasi Belajar Siswa Kelas XII IPS 4 SMA Negeri 6 Surakarta Tahun Pelajaran 2016/2017","type":"article-journal","volume":"1"},"uris":["http://www.mendeley.com/documents/?uuid=1dedfe32-7add-4eab-b7fe-c73ba94a98af"]}],"mendeley":{"formattedCitation":"Farrisa Ovira Maulida, Mardiyana, and Ikrar Pramudya, ‘Analisis Pemahaman Konsep Siswa Pada Materi Persamaan Lingkaran DItijau Dari Motivasi Belajar Siswa Kelas XII IPS 4 SMA Negeri 6 Surakarta Tahun Pelajaran 2016/2017’, &lt;i&gt;Jurnal Pendidikan Matematika Dan Matematika&lt;/i&gt;, 1.4 (2017), 26–45 &lt;http://www.jurnal.fkip.uns.ac.id/index.php/matematika/article/view/11603/8303&gt;.","plainTextFormattedCitation":"Farrisa Ovira Maulida, Mardiyana, and Ikrar Pramudya, ‘Analisis Pemahaman Konsep Siswa Pada Materi Persamaan Lingkaran DItijau Dari Motivasi Belajar Siswa Kelas XII IPS 4 SMA Negeri 6 Surakarta Tahun Pelajaran 2016/2017’, Jurnal Pendidikan Matematika Dan Matematika, 1.4 (2017), 26–45 .","previouslyFormattedCitation":"Farrisa Ovira Maulida, Mardiyana, and Ikrar Pramudya, ‘Analisis Pemahaman Konsep Siswa Pada Materi Persamaan Lingkaran DItijau Dari Motivasi Belajar Siswa Kelas XII IPS 4 SMA Negeri 6 Surakarta Tahun Pelajaran 2016/2017’, &lt;i&gt;Jurnal Pendidikan Matematika Dan Matematika&lt;/i&gt;, 1.4 (2017), 26–45 &lt;http://www.jurnal.fkip.uns.ac.id/index.php/matematika/article/view/11603/8303&gt;."},"properties":{"noteIndex":16},"schema":"https://github.com/citation-style-language/schema/raw/master/csl-citation.json"}</w:instrText>
      </w:r>
      <w:r>
        <w:fldChar w:fldCharType="separate"/>
      </w:r>
      <w:r>
        <w:rPr>
          <w:noProof/>
        </w:rPr>
        <w:t xml:space="preserve">Farrisa Ovira Maulida, Mardiyana, and Ikrar Pramudya, ‘Analisis Pemahaman Konsep Siswa Pada Materi Persamaan Lingkaran DItijau Dari Motivasi Belajar Siswa Kelas XII IPS 4 SMA Negeri 6 Surakarta Tahun Pelajaran 2016/2017’, </w:t>
      </w:r>
      <w:r>
        <w:rPr>
          <w:i/>
          <w:noProof/>
        </w:rPr>
        <w:t>Jurnal Pendidikan Matematika Dan Matematika</w:t>
      </w:r>
      <w:r>
        <w:rPr>
          <w:noProof/>
        </w:rPr>
        <w:t>, 1.4 (2017), 26–45 &lt;http://www.jurnal.fkip.uns.ac.id/index.php/matematika/article/view/11603/8303&gt;.</w:t>
      </w:r>
      <w:r>
        <w:fldChar w:fldCharType="end"/>
      </w:r>
    </w:p>
  </w:footnote>
  <w:footnote w:id="14">
    <w:p w14:paraId="16B9DD56" w14:textId="77777777" w:rsidR="00594D5B" w:rsidRDefault="00594D5B" w:rsidP="00594D5B">
      <w:pPr>
        <w:pStyle w:val="FootnoteText"/>
        <w:jc w:val="both"/>
      </w:pPr>
      <w:r>
        <w:rPr>
          <w:rStyle w:val="FootnoteReference"/>
        </w:rPr>
        <w:footnoteRef/>
      </w:r>
      <w:r>
        <w:t xml:space="preserve"> </w:t>
      </w:r>
      <w:r>
        <w:fldChar w:fldCharType="begin" w:fldLock="1"/>
      </w:r>
      <w:r>
        <w:instrText>ADDIN CSL_CITATION {"citationItems":[{"id":"ITEM-1","itemData":{"author":[{"dropping-particle":"","family":"Budiarto","given":"Mega Teguh","non-dropping-particle":"","parse-names":false,"suffix":""},{"dropping-particle":"","family":"Setyaningsih","given":"Rini","non-dropping-particle":"","parse-names":false,"suffix":""}],"id":"ITEM-1","issued":{"date-parts":[["2019"]]},"title":"Konflik Kognitif Mahasiswa Dalam Memahami Cognitive Conflict of Students in Understanding","type":"article-journal","volume":"2"},"uris":["http://www.mendeley.com/documents/?uuid=b92d79c5-dd34-4daa-a382-e950025b4e39"]}],"mendeley":{"formattedCitation":"Mega Teguh Budiarto and Rini Setyaningsih, ‘Konflik Kognitif Mahasiswa Dalam Memahami Cognitive Conflict of Students in Understanding’, 2 (2019).","plainTextFormattedCitation":"Mega Teguh Budiarto and Rini Setyaningsih, ‘Konflik Kognitif Mahasiswa Dalam Memahami Cognitive Conflict of Students in Understanding’, 2 (2019).","previouslyFormattedCitation":"Mega Teguh Budiarto and Rini Setyaningsih, ‘Konflik Kognitif Mahasiswa Dalam Memahami Cognitive Conflict of Students in Understanding’, 2 (2019)."},"properties":{"noteIndex":17},"schema":"https://github.com/citation-style-language/schema/raw/master/csl-citation.json"}</w:instrText>
      </w:r>
      <w:r>
        <w:fldChar w:fldCharType="separate"/>
      </w:r>
      <w:r>
        <w:rPr>
          <w:noProof/>
        </w:rPr>
        <w:t>Mega Teguh Budiarto and Rini Setyaningsih, ‘Konflik Kognitif Mahasiswa Dalam Memahami Cognitive Conflict of Students in Understanding’, 2 (2019).</w:t>
      </w:r>
      <w:r>
        <w:fldChar w:fldCharType="end"/>
      </w:r>
    </w:p>
  </w:footnote>
  <w:footnote w:id="15">
    <w:p w14:paraId="736CE855" w14:textId="77777777" w:rsidR="00594D5B" w:rsidRDefault="00594D5B" w:rsidP="00594D5B">
      <w:pPr>
        <w:pStyle w:val="FootnoteText"/>
        <w:jc w:val="both"/>
      </w:pPr>
      <w:r>
        <w:rPr>
          <w:rStyle w:val="FootnoteReference"/>
        </w:rPr>
        <w:footnoteRef/>
      </w:r>
      <w:r>
        <w:t xml:space="preserve"> </w:t>
      </w:r>
      <w:r>
        <w:fldChar w:fldCharType="begin" w:fldLock="1"/>
      </w:r>
      <w:r>
        <w:instrText>ADDIN CSL_CITATION {"citationItems":[{"id":"ITEM-1","itemData":{"abstract":"Penelitian ini bertujuan untuk menganalisa konflik kognitif mahasiswa calon guru STKIP PGRI Sidoarjo program studi pendidikan matematika dalam pembuktian matematika. Analisa konflik kognitif dalam peneltian ini menggunakan pendekatan kualitatif. Subjek penelitian adalah 6 mahasiswa yang terdiri dari dua mahasiswa berkemampuan matematika tinggi, dua mahasiswa berkemampuan matematika sedang, dan dua mahasiswa berkemampuan matematika rendah. Subjek penelitian mengerjakan pembuktian matematika, dan wawancara dilakukan ketika subjek mengerjakan pembuktian matematika. Tes dan Wawancara dilakukan untuk menganalisa konflik kognitif mahasiswa calon guru dalam pembuktian matematika.","author":[{"dropping-particle":"","family":"Widadah","given":"Soffil","non-dropping-particle":"","parse-names":false,"suffix":""}],"container-title":"Jurnal Edukasi","id":"ITEM-1","issue":"1","issued":{"date-parts":[["2017"]]},"page":"146-151","title":"Konflik Kognitif Mahasiswa Calon Guru dalam Pembuktian Matematika","type":"article-journal","volume":"3"},"uris":["http://www.mendeley.com/documents/?uuid=92c1524d-8b4f-4fbd-bff6-54660f1b9f6d"]}],"mendeley":{"formattedCitation":"Soffil Widadah, ‘Konflik Kognitif Mahasiswa Calon Guru Dalam Pembuktian Matematika’, &lt;i&gt;Jurnal Edukasi&lt;/i&gt;, 3.1 (2017), 146–51.","plainTextFormattedCitation":"Soffil Widadah, ‘Konflik Kognitif Mahasiswa Calon Guru Dalam Pembuktian Matematika’, Jurnal Edukasi, 3.1 (2017), 146–51.","previouslyFormattedCitation":"Soffil Widadah, ‘Konflik Kognitif Mahasiswa Calon Guru Dalam Pembuktian Matematika’, &lt;i&gt;Jurnal Edukasi&lt;/i&gt;, 3.1 (2017), 146–51."},"properties":{"noteIndex":18},"schema":"https://github.com/citation-style-language/schema/raw/master/csl-citation.json"}</w:instrText>
      </w:r>
      <w:r>
        <w:fldChar w:fldCharType="separate"/>
      </w:r>
      <w:r>
        <w:rPr>
          <w:noProof/>
        </w:rPr>
        <w:t xml:space="preserve">Soffil Widadah, ‘Konflik Kognitif Mahasiswa Calon Guru Dalam Pembuktian Matematika’, </w:t>
      </w:r>
      <w:r>
        <w:rPr>
          <w:i/>
          <w:noProof/>
        </w:rPr>
        <w:t>Jurnal Edukasi</w:t>
      </w:r>
      <w:r>
        <w:rPr>
          <w:noProof/>
        </w:rPr>
        <w:t>, 3.1 (2017), 146–51.</w:t>
      </w:r>
      <w:r>
        <w:fldChar w:fldCharType="end"/>
      </w:r>
    </w:p>
  </w:footnote>
  <w:footnote w:id="16">
    <w:p w14:paraId="3482AF95" w14:textId="77777777" w:rsidR="00594D5B" w:rsidRDefault="00594D5B" w:rsidP="00594D5B">
      <w:pPr>
        <w:pStyle w:val="FootnoteText"/>
      </w:pPr>
      <w:r>
        <w:rPr>
          <w:rStyle w:val="FootnoteReference"/>
        </w:rPr>
        <w:footnoteRef/>
      </w:r>
      <w:r>
        <w:t xml:space="preserve"> </w:t>
      </w:r>
      <w:r>
        <w:fldChar w:fldCharType="begin" w:fldLock="1"/>
      </w:r>
      <w:r>
        <w:instrText>ADDIN CSL_CITATION {"citationItems":[{"id":"ITEM-1","itemData":{"author":[{"dropping-particle":"","family":"Budiarto","given":"Mega Teguh","non-dropping-particle":"","parse-names":false,"suffix":""},{"dropping-particle":"","family":"Setyaningsih","given":"Rini","non-dropping-particle":"","parse-names":false,"suffix":""}],"id":"ITEM-1","issued":{"date-parts":[["2019"]]},"title":"Konflik Kognitif Mahasiswa Dalam Memahami Cognitive Conflict of Students in Understanding","type":"article-journal","volume":"2"},"uris":["http://www.mendeley.com/documents/?uuid=b92d79c5-dd34-4daa-a382-e950025b4e39"]}],"mendeley":{"formattedCitation":"Budiarto and Setyaningsih.","plainTextFormattedCitation":"Budiarto and Setyaningsih.","previouslyFormattedCitation":"Budiarto and Setyaningsih."},"properties":{"noteIndex":19},"schema":"https://github.com/citation-style-language/schema/raw/master/csl-citation.json"}</w:instrText>
      </w:r>
      <w:r>
        <w:fldChar w:fldCharType="separate"/>
      </w:r>
      <w:r>
        <w:rPr>
          <w:noProof/>
        </w:rPr>
        <w:t>Budiarto and Setyaningsih.</w:t>
      </w:r>
      <w:r>
        <w:fldChar w:fldCharType="end"/>
      </w:r>
    </w:p>
  </w:footnote>
  <w:footnote w:id="17">
    <w:p w14:paraId="1496A912" w14:textId="77777777" w:rsidR="00594D5B" w:rsidRDefault="00594D5B" w:rsidP="00594D5B">
      <w:pPr>
        <w:pStyle w:val="FootnoteText"/>
      </w:pPr>
      <w:r>
        <w:rPr>
          <w:rStyle w:val="FootnoteReference"/>
        </w:rPr>
        <w:footnoteRef/>
      </w:r>
      <w:r>
        <w:t xml:space="preserve"> </w:t>
      </w:r>
      <w:r>
        <w:fldChar w:fldCharType="begin" w:fldLock="1"/>
      </w:r>
      <w:r>
        <w:instrText>ADDIN CSL_CITATION {"citationItems":[{"id":"ITEM-1","itemData":{"DOI":"10.36312/jisip.v4i2.1242","ISSN":"2598-9944","abstract":"Hasil belajar kognitif merupakan aspek penting pembelajaran di semua level pendidikan, sehingga intervensi multimetode pembelajaran diupayakan untuk mencapai hasil belajar kognitif yang lebih baik. Penelitian ini bertujuan mengetahui efek penggunaan strategi konflik kognitif terhadap hasil belajar kognitif siswa. Penelitian ini merupakan penelitian eksperimen menggunakan one group pretest posttest design. Sampel penelitian adalah 35 orang siswa di salah satu sekolah menengah atas di Kota Mataram. Strategi konflik kognitif dikonduksikan dalam penelitian pada materi pokok GLB dan GLBB. Pengukuran hasil belajar kognitif menggunakan instrumen tes dan diberikan kepada siswa sebagai pretest dan posttest. Hasil penelitian menunjukkan bahwa hasil belajar kognitif siswa meningkat setelah pembelajaran menggunakan strategi konflik kognitif (mean: 3.4914) signifikan (p: 0.000). Hasil tersebut juga didukung hasil analisis n-gain hasil belajar kognitif siswa setelah pembelajaran dengan nilai 0.74 dengan kategori tinggi sehingga dinyatakan efektif untuk meningkatkan hasil belajar kognitif siswa.","author":[{"dropping-particle":"","family":"Verawati","given":"Ni Nyoman Sri Putu","non-dropping-particle":"","parse-names":false,"suffix":""}],"container-title":"JISIP (Jurnal Ilmu Sosial dan Pendidikan)","id":"ITEM-1","issue":"2","issued":{"date-parts":[["2020"]]},"page":"113-119","title":"Efek Penggunaan Strategi Konflik Kognitif Terhadap Hasil Belajar Kognitif Siswa","type":"article-journal","volume":"4"},"uris":["http://www.mendeley.com/documents/?uuid=aa4f693e-0499-4c9a-b193-432c750631e5"]}],"mendeley":{"formattedCitation":"Ni Nyoman Sri Putu Verawati, ‘Efek Penggunaan Strategi Konflik Kognitif Terhadap Hasil Belajar Kognitif Siswa’, &lt;i&gt;JISIP (Jurnal Ilmu Sosial Dan Pendidikan)&lt;/i&gt;, 4.2 (2020), 113–19 &lt;https://doi.org/10.36312/jisip.v4i2.1242&gt;.","plainTextFormattedCitation":"Ni Nyoman Sri Putu Verawati, ‘Efek Penggunaan Strategi Konflik Kognitif Terhadap Hasil Belajar Kognitif Siswa’, JISIP (Jurnal Ilmu Sosial Dan Pendidikan), 4.2 (2020), 113–19 .","previouslyFormattedCitation":"Ni Nyoman Sri Putu Verawati, ‘Efek Penggunaan Strategi Konflik Kognitif Terhadap Hasil Belajar Kognitif Siswa’, &lt;i&gt;JISIP (Jurnal Ilmu Sosial Dan Pendidikan)&lt;/i&gt;, 4.2 (2020), 113–19 &lt;https://doi.org/10.36312/jisip.v4i2.1242&gt;."},"properties":{"noteIndex":20},"schema":"https://github.com/citation-style-language/schema/raw/master/csl-citation.json"}</w:instrText>
      </w:r>
      <w:r>
        <w:fldChar w:fldCharType="separate"/>
      </w:r>
      <w:r>
        <w:rPr>
          <w:noProof/>
        </w:rPr>
        <w:t xml:space="preserve">Ni Nyoman Sri Putu Verawati, ‘Efek Penggunaan Strategi Konflik Kognitif Terhadap Hasil Belajar Kognitif Siswa’, </w:t>
      </w:r>
      <w:r>
        <w:rPr>
          <w:i/>
          <w:noProof/>
        </w:rPr>
        <w:t>JISIP (Jurnal Ilmu Sosial Dan Pendidikan)</w:t>
      </w:r>
      <w:r>
        <w:rPr>
          <w:noProof/>
        </w:rPr>
        <w:t>, 4.2 (2020), 113–19 &lt;https://doi.org/10.36312/jisip.v4i2.1242&gt;.</w:t>
      </w:r>
      <w:r>
        <w:fldChar w:fldCharType="end"/>
      </w:r>
    </w:p>
  </w:footnote>
  <w:footnote w:id="18">
    <w:p w14:paraId="72E0C505" w14:textId="77777777" w:rsidR="00594D5B" w:rsidRDefault="00594D5B" w:rsidP="00594D5B">
      <w:pPr>
        <w:pStyle w:val="FootnoteText"/>
      </w:pPr>
      <w:r>
        <w:rPr>
          <w:rStyle w:val="FootnoteReference"/>
        </w:rPr>
        <w:footnoteRef/>
      </w:r>
      <w:r>
        <w:t xml:space="preserve"> </w:t>
      </w:r>
      <w:r>
        <w:fldChar w:fldCharType="begin" w:fldLock="1"/>
      </w:r>
      <w:r>
        <w:instrText>ADDIN CSL_CITATION {"citationItems":[{"id":"ITEM-1","itemData":{"DOI":"10.1088/1757-899X/335/1/012074","ISSN":"1757899X","abstract":"Misconception is one of the factors causing students are not suitable in to choose a method for problem solving. Computational Physics course is a major subject in the Department of Physics FMIPA UNP Padang. The problem in Computational Physics learning lately is that students have difficulties in constructing knowledge. The indication of this problem was the student learning outcomes do not achieve mastery learning. The root of the problem is the ability of students to think critically weak. Student critical thinking can be improved using cognitive by conflict learning strategies. The research aims to determine the effect of cognitive conflict learning strategy to student misconception on the subject of Computational Physics Course at the Department of Physics, Faculty of Mathematics and Science, Universitas Negeri Padang. The experimental research design conducted after-before design cycles with a sample of 60 students by cluster random sampling. Data were analyzed using repeated Anova measurements. The cognitive conflict learning strategy has a significant effect on student misconception in the subject of Computational Physics Course.","author":[{"dropping-particle":"","family":"Akmam","given":"A.","non-dropping-particle":"","parse-names":false,"suffix":""},{"dropping-particle":"","family":"Anshari","given":"R.","non-dropping-particle":"","parse-names":false,"suffix":""},{"dropping-particle":"","family":"Amir","given":"H.","non-dropping-particle":"","parse-names":false,"suffix":""},{"dropping-particle":"","family":"Jalinus","given":"N.","non-dropping-particle":"","parse-names":false,"suffix":""},{"dropping-particle":"","family":"Amran","given":"A.","non-dropping-particle":"","parse-names":false,"suffix":""}],"container-title":"IOP Conference Series: Materials Science and Engineering","id":"ITEM-1","issue":"1","issued":{"date-parts":[["2018"]]},"title":"Influence of Learning Strategy of Cognitive Conflict on Student Misconception in Computational Physics Course","type":"article-journal","volume":"335"},"uris":["http://www.mendeley.com/documents/?uuid=2b67ea1b-0ea8-4655-aebd-b908c0b2da01"]}],"mendeley":{"formattedCitation":"A. Akmam and others, ‘Influence of Learning Strategy of Cognitive Conflict on Student Misconception in Computational Physics Course’, &lt;i&gt;IOP Conference Series: Materials Science and Engineering&lt;/i&gt;, 335.1 (2018) &lt;https://doi.org/10.1088/1757-899X/335/1/012074&gt;.","plainTextFormattedCitation":"A. Akmam and others, ‘Influence of Learning Strategy of Cognitive Conflict on Student Misconception in Computational Physics Course’, IOP Conference Series: Materials Science and Engineering, 335.1 (2018) .","previouslyFormattedCitation":"A. Akmam and others, ‘Influence of Learning Strategy of Cognitive Conflict on Student Misconception in Computational Physics Course’, &lt;i&gt;IOP Conference Series: Materials Science and Engineering&lt;/i&gt;, 335.1 (2018) &lt;https://doi.org/10.1088/1757-899X/335/1/012074&gt;."},"properties":{"noteIndex":21},"schema":"https://github.com/citation-style-language/schema/raw/master/csl-citation.json"}</w:instrText>
      </w:r>
      <w:r>
        <w:fldChar w:fldCharType="separate"/>
      </w:r>
      <w:r>
        <w:rPr>
          <w:noProof/>
        </w:rPr>
        <w:t xml:space="preserve">A. Akmam and others, ‘Influence of Learning Strategy of Cognitive Conflict on Student Misconception in Computational Physics Course’, </w:t>
      </w:r>
      <w:r>
        <w:rPr>
          <w:i/>
          <w:noProof/>
        </w:rPr>
        <w:t>IOP Conference Series: Materials Science and Engineering</w:t>
      </w:r>
      <w:r>
        <w:rPr>
          <w:noProof/>
        </w:rPr>
        <w:t>, 335.1 (2018) &lt;https://doi.org/10.1088/1757-899X/335/1/012074&gt;.</w:t>
      </w:r>
      <w:r>
        <w:fldChar w:fldCharType="end"/>
      </w:r>
    </w:p>
  </w:footnote>
  <w:footnote w:id="19">
    <w:p w14:paraId="33F33479" w14:textId="77777777" w:rsidR="00594D5B" w:rsidRDefault="00594D5B" w:rsidP="00594D5B">
      <w:pPr>
        <w:pStyle w:val="FootnoteText"/>
      </w:pPr>
      <w:r>
        <w:rPr>
          <w:rStyle w:val="FootnoteReference"/>
        </w:rPr>
        <w:footnoteRef/>
      </w:r>
      <w:r>
        <w:t xml:space="preserve"> </w:t>
      </w:r>
      <w:r>
        <w:fldChar w:fldCharType="begin" w:fldLock="1"/>
      </w:r>
      <w:r>
        <w:instrText>ADDIN CSL_CITATION {"citationItems":[{"id":"ITEM-1","itemData":{"DOI":"10.13140/RG.2.2.31304.78082","author":[{"dropping-particle":"","family":"Ningrum","given":"Salamah Sulistya","non-dropping-particle":"","parse-names":false,"suffix":""}],"id":"ITEM-1","issue":"May","issued":{"date-parts":[["2019"]]},"title":"Strategi Konflik Kognitif dalam Pembelajaran Matematika","type":"article-journal"},"uris":["http://www.mendeley.com/documents/?uuid=4d0c20f2-5e41-4e52-b191-0730bf51d535"]}],"mendeley":{"formattedCitation":"Salamah Sulistya Ningrum, ‘Strategi Konflik Kognitif Dalam Pembelajaran Matematika’, May, 2019 &lt;https://doi.org/10.13140/RG.2.2.31304.78082&gt;.","plainTextFormattedCitation":"Salamah Sulistya Ningrum, ‘Strategi Konflik Kognitif Dalam Pembelajaran Matematika’, May, 2019 .","previouslyFormattedCitation":"Salamah Sulistya Ningrum, ‘Strategi Konflik Kognitif Dalam Pembelajaran Matematika’, May, 2019 &lt;https://doi.org/10.13140/RG.2.2.31304.78082&gt;."},"properties":{"noteIndex":22},"schema":"https://github.com/citation-style-language/schema/raw/master/csl-citation.json"}</w:instrText>
      </w:r>
      <w:r>
        <w:fldChar w:fldCharType="separate"/>
      </w:r>
      <w:r>
        <w:rPr>
          <w:noProof/>
        </w:rPr>
        <w:t>Salamah Sulistya Ningrum, ‘Strategi Konflik Kognitif Dalam Pembelajaran Matematika’, May, 2019 &lt;https://doi.org/10.13140/RG.2.2.31304.78082&gt;.</w:t>
      </w:r>
      <w:r>
        <w:fldChar w:fldCharType="end"/>
      </w:r>
    </w:p>
  </w:footnote>
  <w:footnote w:id="20">
    <w:p w14:paraId="1430CFEA" w14:textId="77777777" w:rsidR="00594D5B" w:rsidRDefault="00594D5B" w:rsidP="00594D5B">
      <w:pPr>
        <w:pStyle w:val="FootnoteText"/>
      </w:pPr>
      <w:r>
        <w:rPr>
          <w:rStyle w:val="FootnoteReference"/>
        </w:rPr>
        <w:footnoteRef/>
      </w:r>
      <w:r>
        <w:t xml:space="preserve"> </w:t>
      </w:r>
      <w:r>
        <w:fldChar w:fldCharType="begin" w:fldLock="1"/>
      </w:r>
      <w:r>
        <w:instrText>ADDIN CSL_CITATION {"citationItems":[{"id":"ITEM-1","itemData":{"DOI":"10.1088/1757-899X/335/1/012072","ISSN":"1757899X","abstract":"The problems that often occur in the learning of physics is a matter of misconception and low understanding of the concept. Misconceptions do not only happen to students, but also happen to college students and teachers. The existing learning model has not had much impact on improving conceptual understanding and remedial efforts of student misconception. This study aims to see the impact of cognitive-based learning model in improving conceptual understanding and remediating student misconceptions. The research method used is Design / Develop Research. The product developed is a cognitive conflict-based learning model along with its components. This article reports on product design results, validity tests, and practicality test. The study resulted in the design of cognitive conflict-based learning model with 4 learning syntaxes, namely (1) preconception activation, (2) presentation of cognitive conflict, (3) discovery of concepts &amp; equations, (4) Reflection. The results of validity tests by some experts on aspects of content, didactic, appearance or language, indicate very valid criteria. Product trial results also show a very practical product to use. Based on pretest and posttest results, cognitive conflict-based learning models have a good impact on improving conceptual understanding and remediating misconceptions, especially in high-ability students.","author":[{"dropping-particle":"","family":"Mufit","given":"F.","non-dropping-particle":"","parse-names":false,"suffix":""},{"dropping-particle":"","family":"Festiyed","given":"F.","non-dropping-particle":"","parse-names":false,"suffix":""},{"dropping-particle":"","family":"Fauzan","given":"A.","non-dropping-particle":"","parse-names":false,"suffix":""},{"dropping-particle":"","family":"Lufri","given":"L.","non-dropping-particle":"","parse-names":false,"suffix":""}],"container-title":"IOP Conference Series: Materials Science and Engineering","id":"ITEM-1","issue":"1","issued":{"date-parts":[["2018"]]},"title":"Impact of Learning Model Based on Cognitive Conflict toward Student's Conceptual Understanding","type":"article-journal","volume":"335"},"uris":["http://www.mendeley.com/documents/?uuid=803738cb-71c0-4cfb-9c81-4434047f7d1e"]}],"mendeley":{"formattedCitation":"F. Mufit and others, ‘Impact of Learning Model Based on Cognitive Conflict toward Student’s Conceptual Understanding’, &lt;i&gt;IOP Conference Series: Materials Science and Engineering&lt;/i&gt;, 335.1 (2018) &lt;https://doi.org/10.1088/1757-899X/335/1/012072&gt;.","plainTextFormattedCitation":"F. Mufit and others, ‘Impact of Learning Model Based on Cognitive Conflict toward Student’s Conceptual Understanding’, IOP Conference Series: Materials Science and Engineering, 335.1 (2018) ."},"properties":{"noteIndex":23},"schema":"https://github.com/citation-style-language/schema/raw/master/csl-citation.json"}</w:instrText>
      </w:r>
      <w:r>
        <w:fldChar w:fldCharType="separate"/>
      </w:r>
      <w:r>
        <w:rPr>
          <w:noProof/>
        </w:rPr>
        <w:t xml:space="preserve">F. Mufit and others, ‘Impact of Learning Model Based on Cognitive Conflict toward Student’s Conceptual Understanding’, </w:t>
      </w:r>
      <w:r>
        <w:rPr>
          <w:i/>
          <w:noProof/>
        </w:rPr>
        <w:t>IOP Conference Series: Materials Science and Engineering</w:t>
      </w:r>
      <w:r>
        <w:rPr>
          <w:noProof/>
        </w:rPr>
        <w:t>, 335.1 (2018) &lt;https://doi.org/10.1088/1757-899X/335/1/012072&gt;.</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b/>
        <w:sz w:val="16"/>
        <w:szCs w:val="16"/>
      </w:rPr>
      <w:id w:val="-1149280173"/>
      <w:docPartObj>
        <w:docPartGallery w:val="Page Numbers (Top of Page)"/>
        <w:docPartUnique/>
      </w:docPartObj>
    </w:sdtPr>
    <w:sdtEndPr>
      <w:rPr>
        <w:b w:val="0"/>
        <w:i/>
        <w:iCs/>
        <w:color w:val="808080" w:themeColor="background1" w:themeShade="80"/>
        <w:spacing w:val="60"/>
      </w:rPr>
    </w:sdtEndPr>
    <w:sdtContent>
      <w:p w14:paraId="04D01151" w14:textId="77777777" w:rsidR="003D31E3" w:rsidRPr="0065735E" w:rsidRDefault="007F1160" w:rsidP="007F1160">
        <w:pPr>
          <w:pStyle w:val="Header"/>
          <w:pBdr>
            <w:bottom w:val="single" w:sz="4" w:space="1" w:color="D9D9D9" w:themeColor="background1" w:themeShade="D9"/>
          </w:pBdr>
          <w:rPr>
            <w:rStyle w:val="kcmread1114"/>
            <w:rFonts w:ascii="Georgia" w:hAnsi="Georgia"/>
            <w:sz w:val="16"/>
            <w:szCs w:val="16"/>
            <w:lang w:val="en-US"/>
          </w:rPr>
        </w:pPr>
        <w:r w:rsidRPr="0065735E">
          <w:rPr>
            <w:rStyle w:val="kcmread1114"/>
            <w:rFonts w:ascii="Georgia" w:hAnsi="Georgia"/>
            <w:sz w:val="16"/>
            <w:szCs w:val="16"/>
            <w:lang w:val="en-US"/>
          </w:rPr>
          <w:t>Al- Ishlah: Jurnal Pendidikan</w:t>
        </w:r>
        <w:r w:rsidR="00F052E7" w:rsidRPr="0065735E">
          <w:rPr>
            <w:rStyle w:val="kcmread1114"/>
            <w:rFonts w:ascii="Georgia" w:hAnsi="Georgia"/>
            <w:sz w:val="16"/>
            <w:szCs w:val="16"/>
          </w:rPr>
          <w:t>,</w:t>
        </w:r>
        <w:r w:rsidR="00E00691" w:rsidRPr="0065735E">
          <w:rPr>
            <w:rStyle w:val="kcmread1114"/>
            <w:rFonts w:ascii="Georgia" w:hAnsi="Georgia"/>
            <w:sz w:val="16"/>
            <w:szCs w:val="16"/>
            <w:lang w:val="en-US"/>
          </w:rPr>
          <w:t xml:space="preserve"> year, vol</w:t>
        </w:r>
        <w:r w:rsidR="003D31E3" w:rsidRPr="0065735E">
          <w:rPr>
            <w:rStyle w:val="kcmread1114"/>
            <w:rFonts w:ascii="Georgia" w:hAnsi="Georgia"/>
            <w:sz w:val="16"/>
            <w:szCs w:val="16"/>
            <w:lang w:val="en-US"/>
          </w:rPr>
          <w:t xml:space="preserve"> </w:t>
        </w:r>
        <w:r w:rsidR="00E00691" w:rsidRPr="0065735E">
          <w:rPr>
            <w:rStyle w:val="kcmread1114"/>
            <w:rFonts w:ascii="Georgia" w:hAnsi="Georgia"/>
            <w:sz w:val="16"/>
            <w:szCs w:val="16"/>
            <w:lang w:val="en-US"/>
          </w:rPr>
          <w:t>(issue),</w:t>
        </w:r>
        <w:r w:rsidR="00F052E7" w:rsidRPr="0065735E">
          <w:rPr>
            <w:rStyle w:val="kcmread1114"/>
            <w:rFonts w:ascii="Georgia" w:hAnsi="Georgia"/>
            <w:sz w:val="16"/>
            <w:szCs w:val="16"/>
          </w:rPr>
          <w:t xml:space="preserve"> Pages </w:t>
        </w:r>
        <w:r w:rsidR="004D6996" w:rsidRPr="0065735E">
          <w:rPr>
            <w:rStyle w:val="kcmread1114"/>
            <w:rFonts w:ascii="Georgia" w:hAnsi="Georgia"/>
            <w:sz w:val="16"/>
            <w:szCs w:val="16"/>
          </w:rPr>
          <w:t>.....-.....</w:t>
        </w:r>
      </w:p>
      <w:p w14:paraId="1E8E38B7" w14:textId="77777777" w:rsidR="0065735E" w:rsidRPr="0065735E" w:rsidRDefault="0065735E" w:rsidP="0065735E">
        <w:pPr>
          <w:pStyle w:val="Header"/>
          <w:pBdr>
            <w:bottom w:val="single" w:sz="4" w:space="1" w:color="D9D9D9" w:themeColor="background1" w:themeShade="D9"/>
          </w:pBdr>
          <w:ind w:left="284"/>
          <w:rPr>
            <w:rStyle w:val="kcmread1114"/>
            <w:rFonts w:ascii="Georgia" w:hAnsi="Georgia"/>
            <w:sz w:val="16"/>
            <w:szCs w:val="16"/>
            <w:lang w:val="en-US"/>
          </w:rPr>
        </w:pPr>
      </w:p>
      <w:p w14:paraId="35148DEC" w14:textId="4CAEFD68" w:rsidR="00F052E7" w:rsidRPr="0065735E" w:rsidRDefault="00142499" w:rsidP="007F1160">
        <w:pPr>
          <w:pStyle w:val="Header"/>
          <w:pBdr>
            <w:bottom w:val="single" w:sz="4" w:space="1" w:color="D9D9D9" w:themeColor="background1" w:themeShade="D9"/>
          </w:pBdr>
          <w:rPr>
            <w:rFonts w:ascii="Georgia" w:hAnsi="Georgia"/>
            <w:b/>
            <w:bCs/>
            <w:i/>
            <w:iCs/>
            <w:sz w:val="16"/>
            <w:szCs w:val="16"/>
          </w:rPr>
        </w:pPr>
        <w:r>
          <w:rPr>
            <w:rStyle w:val="kcmread1114"/>
            <w:rFonts w:ascii="Georgia" w:hAnsi="Georgia"/>
            <w:i/>
            <w:iCs/>
            <w:sz w:val="16"/>
            <w:szCs w:val="16"/>
            <w:lang w:val="en-US"/>
          </w:rPr>
          <w:t>Author</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ato" w:hAnsi="Lato"/>
        <w:color w:val="7F7F7F" w:themeColor="background1" w:themeShade="7F"/>
        <w:spacing w:val="60"/>
        <w:sz w:val="18"/>
        <w:szCs w:val="18"/>
      </w:rPr>
      <w:id w:val="-1627004675"/>
      <w:docPartObj>
        <w:docPartGallery w:val="Page Numbers (Top of Page)"/>
        <w:docPartUnique/>
      </w:docPartObj>
    </w:sdtPr>
    <w:sdtEndPr>
      <w:rPr>
        <w:b/>
        <w:bCs/>
        <w:noProof/>
        <w:color w:val="auto"/>
        <w:spacing w:val="0"/>
      </w:rPr>
    </w:sdtEndPr>
    <w:sdtContent>
      <w:sdt>
        <w:sdtPr>
          <w:rPr>
            <w:rFonts w:ascii="Georgia" w:hAnsi="Georgia"/>
            <w:b/>
            <w:sz w:val="16"/>
            <w:szCs w:val="16"/>
          </w:rPr>
          <w:id w:val="125820580"/>
          <w:docPartObj>
            <w:docPartGallery w:val="Page Numbers (Top of Page)"/>
            <w:docPartUnique/>
          </w:docPartObj>
        </w:sdtPr>
        <w:sdtEndPr>
          <w:rPr>
            <w:b w:val="0"/>
            <w:i/>
            <w:iCs/>
            <w:color w:val="808080" w:themeColor="background1" w:themeShade="80"/>
            <w:spacing w:val="60"/>
          </w:rPr>
        </w:sdtEndPr>
        <w:sdtContent>
          <w:p w14:paraId="56DBCA6A" w14:textId="77777777" w:rsidR="00D704E1" w:rsidRPr="0065735E" w:rsidRDefault="00D704E1" w:rsidP="00D704E1">
            <w:pPr>
              <w:pStyle w:val="Header"/>
              <w:pBdr>
                <w:bottom w:val="single" w:sz="4" w:space="1" w:color="D9D9D9" w:themeColor="background1" w:themeShade="D9"/>
              </w:pBdr>
              <w:jc w:val="right"/>
              <w:rPr>
                <w:rStyle w:val="kcmread1114"/>
                <w:rFonts w:ascii="Georgia" w:hAnsi="Georgia"/>
                <w:sz w:val="16"/>
                <w:szCs w:val="16"/>
                <w:lang w:val="en-US"/>
              </w:rPr>
            </w:pPr>
            <w:r w:rsidRPr="0065735E">
              <w:rPr>
                <w:rStyle w:val="kcmread1114"/>
                <w:rFonts w:ascii="Georgia" w:hAnsi="Georgia"/>
                <w:sz w:val="16"/>
                <w:szCs w:val="16"/>
                <w:lang w:val="en-US"/>
              </w:rPr>
              <w:t>Al- Ishlah: Jurnal 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year, vol (issue),</w:t>
            </w:r>
            <w:r w:rsidRPr="0065735E">
              <w:rPr>
                <w:rStyle w:val="kcmread1114"/>
                <w:rFonts w:ascii="Georgia" w:hAnsi="Georgia"/>
                <w:sz w:val="16"/>
                <w:szCs w:val="16"/>
              </w:rPr>
              <w:t xml:space="preserve"> Pages .....-.....</w:t>
            </w:r>
          </w:p>
          <w:p w14:paraId="48F12889" w14:textId="77777777" w:rsidR="00D704E1" w:rsidRPr="0065735E" w:rsidRDefault="00D704E1" w:rsidP="00D704E1">
            <w:pPr>
              <w:pStyle w:val="Header"/>
              <w:pBdr>
                <w:bottom w:val="single" w:sz="4" w:space="1" w:color="D9D9D9" w:themeColor="background1" w:themeShade="D9"/>
              </w:pBdr>
              <w:ind w:left="284"/>
              <w:jc w:val="right"/>
              <w:rPr>
                <w:rStyle w:val="kcmread1114"/>
                <w:rFonts w:ascii="Georgia" w:hAnsi="Georgia"/>
                <w:sz w:val="16"/>
                <w:szCs w:val="16"/>
                <w:lang w:val="en-US"/>
              </w:rPr>
            </w:pPr>
          </w:p>
          <w:p w14:paraId="66ACFC6A" w14:textId="77777777" w:rsidR="00D704E1" w:rsidRDefault="00D704E1" w:rsidP="00D704E1">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r w:rsidRPr="0065735E">
              <w:rPr>
                <w:rStyle w:val="kcmread1114"/>
                <w:rFonts w:ascii="Georgia" w:hAnsi="Georgia"/>
                <w:i/>
                <w:iCs/>
                <w:sz w:val="16"/>
                <w:szCs w:val="16"/>
                <w:lang w:val="en-US"/>
              </w:rPr>
              <w:t>Manucript Title</w:t>
            </w:r>
          </w:p>
        </w:sdtContent>
      </w:sdt>
      <w:p w14:paraId="5CBC56EE" w14:textId="406E3C13" w:rsidR="0030123D" w:rsidRPr="0030123D" w:rsidRDefault="00AE37C5" w:rsidP="00D704E1">
        <w:pPr>
          <w:pStyle w:val="Header"/>
          <w:pBdr>
            <w:bottom w:val="single" w:sz="4" w:space="1" w:color="D9D9D9" w:themeColor="background1" w:themeShade="D9"/>
          </w:pBdr>
          <w:jc w:val="both"/>
          <w:rPr>
            <w:rFonts w:ascii="Lato" w:hAnsi="Lato"/>
            <w:b/>
            <w:bCs/>
            <w:sz w:val="18"/>
            <w:szCs w:val="18"/>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9FE9D" w14:textId="77777777" w:rsidR="00D704E1" w:rsidRDefault="00D704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AD4"/>
    <w:multiLevelType w:val="hybridMultilevel"/>
    <w:tmpl w:val="86E80A3E"/>
    <w:lvl w:ilvl="0" w:tplc="069C0DAA">
      <w:start w:val="1"/>
      <w:numFmt w:val="lowerLetter"/>
      <w:lvlText w:val="%1."/>
      <w:lvlJc w:val="left"/>
      <w:pPr>
        <w:ind w:left="1211" w:hanging="360"/>
      </w:pPr>
      <w:rPr>
        <w:rFonts w:eastAsia="MS Minch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nsid w:val="22013679"/>
    <w:multiLevelType w:val="multilevel"/>
    <w:tmpl w:val="F350E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57F388C"/>
    <w:multiLevelType w:val="hybridMultilevel"/>
    <w:tmpl w:val="30BAD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9A85B4E"/>
    <w:multiLevelType w:val="hybridMultilevel"/>
    <w:tmpl w:val="307455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0543E4F"/>
    <w:multiLevelType w:val="hybridMultilevel"/>
    <w:tmpl w:val="288E3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6D3668"/>
    <w:multiLevelType w:val="hybridMultilevel"/>
    <w:tmpl w:val="8A5212D2"/>
    <w:lvl w:ilvl="0" w:tplc="28F83242">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nsid w:val="5AAB0EE8"/>
    <w:multiLevelType w:val="hybridMultilevel"/>
    <w:tmpl w:val="3A60FA46"/>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DFF4EC3"/>
    <w:multiLevelType w:val="hybridMultilevel"/>
    <w:tmpl w:val="D3249410"/>
    <w:lvl w:ilvl="0" w:tplc="9B56B62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5F9E7C33"/>
    <w:multiLevelType w:val="hybridMultilevel"/>
    <w:tmpl w:val="EECEDE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717A2D56"/>
    <w:multiLevelType w:val="hybridMultilevel"/>
    <w:tmpl w:val="3B9C5482"/>
    <w:lvl w:ilvl="0" w:tplc="20B63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DC3"/>
    <w:rsid w:val="00004FDF"/>
    <w:rsid w:val="00045523"/>
    <w:rsid w:val="000A1372"/>
    <w:rsid w:val="000D63D4"/>
    <w:rsid w:val="000E10A5"/>
    <w:rsid w:val="00142499"/>
    <w:rsid w:val="00187215"/>
    <w:rsid w:val="00191E4B"/>
    <w:rsid w:val="00195DC3"/>
    <w:rsid w:val="001A43E8"/>
    <w:rsid w:val="001B56A4"/>
    <w:rsid w:val="001C1C20"/>
    <w:rsid w:val="001C1DBB"/>
    <w:rsid w:val="001E6580"/>
    <w:rsid w:val="00226D20"/>
    <w:rsid w:val="00242F1D"/>
    <w:rsid w:val="0026086C"/>
    <w:rsid w:val="00276A73"/>
    <w:rsid w:val="002B204C"/>
    <w:rsid w:val="002E1B85"/>
    <w:rsid w:val="0030123D"/>
    <w:rsid w:val="00310E75"/>
    <w:rsid w:val="00337425"/>
    <w:rsid w:val="00342595"/>
    <w:rsid w:val="00374492"/>
    <w:rsid w:val="00386B0D"/>
    <w:rsid w:val="003979C0"/>
    <w:rsid w:val="003B1980"/>
    <w:rsid w:val="003B2EC2"/>
    <w:rsid w:val="003C335A"/>
    <w:rsid w:val="003D0B28"/>
    <w:rsid w:val="003D31E3"/>
    <w:rsid w:val="003D7C70"/>
    <w:rsid w:val="003F41DE"/>
    <w:rsid w:val="0041029B"/>
    <w:rsid w:val="004877B4"/>
    <w:rsid w:val="004B4465"/>
    <w:rsid w:val="004D042C"/>
    <w:rsid w:val="004D0B4C"/>
    <w:rsid w:val="004D277C"/>
    <w:rsid w:val="004D6996"/>
    <w:rsid w:val="004F5E88"/>
    <w:rsid w:val="005272FD"/>
    <w:rsid w:val="00594D5B"/>
    <w:rsid w:val="005C6962"/>
    <w:rsid w:val="00603B75"/>
    <w:rsid w:val="00637B7B"/>
    <w:rsid w:val="00653CA6"/>
    <w:rsid w:val="0065735E"/>
    <w:rsid w:val="006A4852"/>
    <w:rsid w:val="00723B12"/>
    <w:rsid w:val="007C0351"/>
    <w:rsid w:val="007F1160"/>
    <w:rsid w:val="00882628"/>
    <w:rsid w:val="008A2DFB"/>
    <w:rsid w:val="008B059D"/>
    <w:rsid w:val="008D3325"/>
    <w:rsid w:val="00901769"/>
    <w:rsid w:val="009029D4"/>
    <w:rsid w:val="0094100F"/>
    <w:rsid w:val="009535B1"/>
    <w:rsid w:val="00954C41"/>
    <w:rsid w:val="00A1672C"/>
    <w:rsid w:val="00A225F2"/>
    <w:rsid w:val="00AE37C5"/>
    <w:rsid w:val="00B04340"/>
    <w:rsid w:val="00B10F0A"/>
    <w:rsid w:val="00B24C2D"/>
    <w:rsid w:val="00B252FF"/>
    <w:rsid w:val="00B55E4A"/>
    <w:rsid w:val="00BC2EA3"/>
    <w:rsid w:val="00CA133C"/>
    <w:rsid w:val="00CA3287"/>
    <w:rsid w:val="00CC3C5F"/>
    <w:rsid w:val="00CE0D27"/>
    <w:rsid w:val="00D45A82"/>
    <w:rsid w:val="00D46931"/>
    <w:rsid w:val="00D704E1"/>
    <w:rsid w:val="00D806DB"/>
    <w:rsid w:val="00DC0975"/>
    <w:rsid w:val="00DE16E4"/>
    <w:rsid w:val="00E00691"/>
    <w:rsid w:val="00E14796"/>
    <w:rsid w:val="00E25823"/>
    <w:rsid w:val="00E77675"/>
    <w:rsid w:val="00EA3B75"/>
    <w:rsid w:val="00ED6711"/>
    <w:rsid w:val="00F052E7"/>
    <w:rsid w:val="00F6210B"/>
    <w:rsid w:val="00F701AA"/>
    <w:rsid w:val="00F70FF8"/>
    <w:rsid w:val="00F92943"/>
    <w:rsid w:val="00F936B2"/>
    <w:rsid w:val="00F956D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2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
    <w:basedOn w:val="Normal"/>
    <w:link w:val="ListParagraphChar"/>
    <w:uiPriority w:val="34"/>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59"/>
    <w:rsid w:val="00F052E7"/>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
    <w:name w:val="Unresolved Mention"/>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 w:type="paragraph" w:customStyle="1" w:styleId="Wahanaauthor">
    <w:name w:val="Wahana_author"/>
    <w:basedOn w:val="Normal"/>
    <w:link w:val="WahanaauthorChar"/>
    <w:qFormat/>
    <w:rsid w:val="00D45A82"/>
    <w:pPr>
      <w:spacing w:after="0" w:line="360" w:lineRule="auto"/>
      <w:ind w:right="193"/>
    </w:pPr>
    <w:rPr>
      <w:rFonts w:ascii="Cambria" w:eastAsia="Times New Roman" w:hAnsi="Cambria" w:cs="Times New Roman"/>
      <w:b/>
      <w:sz w:val="24"/>
      <w:szCs w:val="24"/>
      <w:lang w:val="en-US" w:eastAsia="tr-TR"/>
    </w:rPr>
  </w:style>
  <w:style w:type="character" w:customStyle="1" w:styleId="WahanaauthorChar">
    <w:name w:val="Wahana_author Char"/>
    <w:link w:val="Wahanaauthor"/>
    <w:rsid w:val="00D45A82"/>
    <w:rPr>
      <w:rFonts w:ascii="Cambria" w:eastAsia="Times New Roman" w:hAnsi="Cambria" w:cs="Times New Roman"/>
      <w:b/>
      <w:sz w:val="24"/>
      <w:szCs w:val="24"/>
      <w:lang w:val="en-US"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
    <w:basedOn w:val="Normal"/>
    <w:link w:val="ListParagraphChar"/>
    <w:uiPriority w:val="34"/>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59"/>
    <w:rsid w:val="00F052E7"/>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
    <w:name w:val="Unresolved Mention"/>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 w:type="paragraph" w:customStyle="1" w:styleId="Wahanaauthor">
    <w:name w:val="Wahana_author"/>
    <w:basedOn w:val="Normal"/>
    <w:link w:val="WahanaauthorChar"/>
    <w:qFormat/>
    <w:rsid w:val="00D45A82"/>
    <w:pPr>
      <w:spacing w:after="0" w:line="360" w:lineRule="auto"/>
      <w:ind w:right="193"/>
    </w:pPr>
    <w:rPr>
      <w:rFonts w:ascii="Cambria" w:eastAsia="Times New Roman" w:hAnsi="Cambria" w:cs="Times New Roman"/>
      <w:b/>
      <w:sz w:val="24"/>
      <w:szCs w:val="24"/>
      <w:lang w:val="en-US" w:eastAsia="tr-TR"/>
    </w:rPr>
  </w:style>
  <w:style w:type="character" w:customStyle="1" w:styleId="WahanaauthorChar">
    <w:name w:val="Wahana_author Char"/>
    <w:link w:val="Wahanaauthor"/>
    <w:rsid w:val="00D45A82"/>
    <w:rPr>
      <w:rFonts w:ascii="Cambria" w:eastAsia="Times New Roman" w:hAnsi="Cambria" w:cs="Times New Roman"/>
      <w:b/>
      <w:sz w:val="24"/>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4523">
      <w:bodyDiv w:val="1"/>
      <w:marLeft w:val="0"/>
      <w:marRight w:val="0"/>
      <w:marTop w:val="0"/>
      <w:marBottom w:val="0"/>
      <w:divBdr>
        <w:top w:val="none" w:sz="0" w:space="0" w:color="auto"/>
        <w:left w:val="none" w:sz="0" w:space="0" w:color="auto"/>
        <w:bottom w:val="none" w:sz="0" w:space="0" w:color="auto"/>
        <w:right w:val="none" w:sz="0" w:space="0" w:color="auto"/>
      </w:divBdr>
    </w:div>
    <w:div w:id="314070265">
      <w:bodyDiv w:val="1"/>
      <w:marLeft w:val="0"/>
      <w:marRight w:val="0"/>
      <w:marTop w:val="0"/>
      <w:marBottom w:val="0"/>
      <w:divBdr>
        <w:top w:val="none" w:sz="0" w:space="0" w:color="auto"/>
        <w:left w:val="none" w:sz="0" w:space="0" w:color="auto"/>
        <w:bottom w:val="none" w:sz="0" w:space="0" w:color="auto"/>
        <w:right w:val="none" w:sz="0" w:space="0" w:color="auto"/>
      </w:divBdr>
    </w:div>
    <w:div w:id="392779677">
      <w:bodyDiv w:val="1"/>
      <w:marLeft w:val="0"/>
      <w:marRight w:val="0"/>
      <w:marTop w:val="0"/>
      <w:marBottom w:val="0"/>
      <w:divBdr>
        <w:top w:val="none" w:sz="0" w:space="0" w:color="auto"/>
        <w:left w:val="none" w:sz="0" w:space="0" w:color="auto"/>
        <w:bottom w:val="none" w:sz="0" w:space="0" w:color="auto"/>
        <w:right w:val="none" w:sz="0" w:space="0" w:color="auto"/>
      </w:divBdr>
    </w:div>
    <w:div w:id="838470399">
      <w:bodyDiv w:val="1"/>
      <w:marLeft w:val="0"/>
      <w:marRight w:val="0"/>
      <w:marTop w:val="0"/>
      <w:marBottom w:val="0"/>
      <w:divBdr>
        <w:top w:val="none" w:sz="0" w:space="0" w:color="auto"/>
        <w:left w:val="none" w:sz="0" w:space="0" w:color="auto"/>
        <w:bottom w:val="none" w:sz="0" w:space="0" w:color="auto"/>
        <w:right w:val="none" w:sz="0" w:space="0" w:color="auto"/>
      </w:divBdr>
    </w:div>
    <w:div w:id="900023851">
      <w:bodyDiv w:val="1"/>
      <w:marLeft w:val="0"/>
      <w:marRight w:val="0"/>
      <w:marTop w:val="0"/>
      <w:marBottom w:val="0"/>
      <w:divBdr>
        <w:top w:val="none" w:sz="0" w:space="0" w:color="auto"/>
        <w:left w:val="none" w:sz="0" w:space="0" w:color="auto"/>
        <w:bottom w:val="none" w:sz="0" w:space="0" w:color="auto"/>
        <w:right w:val="none" w:sz="0" w:space="0" w:color="auto"/>
      </w:divBdr>
    </w:div>
    <w:div w:id="980110035">
      <w:bodyDiv w:val="1"/>
      <w:marLeft w:val="0"/>
      <w:marRight w:val="0"/>
      <w:marTop w:val="0"/>
      <w:marBottom w:val="0"/>
      <w:divBdr>
        <w:top w:val="none" w:sz="0" w:space="0" w:color="auto"/>
        <w:left w:val="none" w:sz="0" w:space="0" w:color="auto"/>
        <w:bottom w:val="none" w:sz="0" w:space="0" w:color="auto"/>
        <w:right w:val="none" w:sz="0" w:space="0" w:color="auto"/>
      </w:divBdr>
    </w:div>
    <w:div w:id="1101998338">
      <w:bodyDiv w:val="1"/>
      <w:marLeft w:val="0"/>
      <w:marRight w:val="0"/>
      <w:marTop w:val="0"/>
      <w:marBottom w:val="0"/>
      <w:divBdr>
        <w:top w:val="none" w:sz="0" w:space="0" w:color="auto"/>
        <w:left w:val="none" w:sz="0" w:space="0" w:color="auto"/>
        <w:bottom w:val="none" w:sz="0" w:space="0" w:color="auto"/>
        <w:right w:val="none" w:sz="0" w:space="0" w:color="auto"/>
      </w:divBdr>
    </w:div>
    <w:div w:id="1342007656">
      <w:bodyDiv w:val="1"/>
      <w:marLeft w:val="0"/>
      <w:marRight w:val="0"/>
      <w:marTop w:val="0"/>
      <w:marBottom w:val="0"/>
      <w:divBdr>
        <w:top w:val="none" w:sz="0" w:space="0" w:color="auto"/>
        <w:left w:val="none" w:sz="0" w:space="0" w:color="auto"/>
        <w:bottom w:val="none" w:sz="0" w:space="0" w:color="auto"/>
        <w:right w:val="none" w:sz="0" w:space="0" w:color="auto"/>
      </w:divBdr>
    </w:div>
    <w:div w:id="1398165039">
      <w:bodyDiv w:val="1"/>
      <w:marLeft w:val="0"/>
      <w:marRight w:val="0"/>
      <w:marTop w:val="0"/>
      <w:marBottom w:val="0"/>
      <w:divBdr>
        <w:top w:val="none" w:sz="0" w:space="0" w:color="auto"/>
        <w:left w:val="none" w:sz="0" w:space="0" w:color="auto"/>
        <w:bottom w:val="none" w:sz="0" w:space="0" w:color="auto"/>
        <w:right w:val="none" w:sz="0" w:space="0" w:color="auto"/>
      </w:divBdr>
    </w:div>
    <w:div w:id="1599479389">
      <w:bodyDiv w:val="1"/>
      <w:marLeft w:val="0"/>
      <w:marRight w:val="0"/>
      <w:marTop w:val="0"/>
      <w:marBottom w:val="0"/>
      <w:divBdr>
        <w:top w:val="none" w:sz="0" w:space="0" w:color="auto"/>
        <w:left w:val="none" w:sz="0" w:space="0" w:color="auto"/>
        <w:bottom w:val="none" w:sz="0" w:space="0" w:color="auto"/>
        <w:right w:val="none" w:sz="0" w:space="0" w:color="auto"/>
      </w:divBdr>
      <w:divsChild>
        <w:div w:id="1510831544">
          <w:marLeft w:val="0"/>
          <w:marRight w:val="0"/>
          <w:marTop w:val="0"/>
          <w:marBottom w:val="0"/>
          <w:divBdr>
            <w:top w:val="none" w:sz="0" w:space="0" w:color="auto"/>
            <w:left w:val="none" w:sz="0" w:space="0" w:color="auto"/>
            <w:bottom w:val="none" w:sz="0" w:space="0" w:color="auto"/>
            <w:right w:val="none" w:sz="0" w:space="0" w:color="auto"/>
          </w:divBdr>
        </w:div>
        <w:div w:id="916062858">
          <w:marLeft w:val="0"/>
          <w:marRight w:val="0"/>
          <w:marTop w:val="0"/>
          <w:marBottom w:val="0"/>
          <w:divBdr>
            <w:top w:val="none" w:sz="0" w:space="0" w:color="auto"/>
            <w:left w:val="none" w:sz="0" w:space="0" w:color="auto"/>
            <w:bottom w:val="none" w:sz="0" w:space="0" w:color="auto"/>
            <w:right w:val="none" w:sz="0" w:space="0" w:color="auto"/>
          </w:divBdr>
        </w:div>
      </w:divsChild>
    </w:div>
    <w:div w:id="1890261763">
      <w:bodyDiv w:val="1"/>
      <w:marLeft w:val="0"/>
      <w:marRight w:val="0"/>
      <w:marTop w:val="0"/>
      <w:marBottom w:val="0"/>
      <w:divBdr>
        <w:top w:val="none" w:sz="0" w:space="0" w:color="auto"/>
        <w:left w:val="none" w:sz="0" w:space="0" w:color="auto"/>
        <w:bottom w:val="none" w:sz="0" w:space="0" w:color="auto"/>
        <w:right w:val="none" w:sz="0" w:space="0" w:color="auto"/>
      </w:divBdr>
    </w:div>
    <w:div w:id="2131894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ournal.staihubbulwathan.id/index.php/alishl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u.lipi.go.id/1495179561"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lipi.go.id/1432364757"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firmantiyuberta@gmail.com" TargetMode="External"/><Relationship Id="rId23" Type="http://schemas.openxmlformats.org/officeDocument/2006/relationships/footer" Target="footer3.xml"/><Relationship Id="rId10" Type="http://schemas.openxmlformats.org/officeDocument/2006/relationships/hyperlink" Target="https://doaj.or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E6FC909-4659-4C17-8DEF-1F6D1C95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4366</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Y.Novitasari</dc:creator>
  <cp:lastModifiedBy>Windows User</cp:lastModifiedBy>
  <cp:revision>2</cp:revision>
  <cp:lastPrinted>2020-04-21T08:50:00Z</cp:lastPrinted>
  <dcterms:created xsi:type="dcterms:W3CDTF">2022-07-04T01:00:00Z</dcterms:created>
  <dcterms:modified xsi:type="dcterms:W3CDTF">2022-07-04T01:00:00Z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